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dNormal"/>
        <w:spacing w:lineRule="auto" w:line="240"/>
        <w:rPr>
          <w:rFonts w:ascii="Century Gothic" w:hAnsi="Century Gothic"/>
          <w:b/>
          <w:bCs/>
          <w:sz w:val="19"/>
          <w:szCs w:val="19"/>
        </w:rPr>
      </w:pPr>
      <w:r>
        <w:rPr>
          <w:rFonts w:ascii="Century Gothic" w:hAnsi="Century Gothic"/>
          <w:b/>
          <w:bCs/>
          <w:sz w:val="19"/>
          <w:szCs w:val="19"/>
        </w:rPr>
      </w:r>
    </w:p>
    <w:p>
      <w:pPr>
        <w:pStyle w:val="Normal"/>
        <w:rPr/>
      </w:pPr>
      <w:r>
        <w:rPr>
          <w:b/>
          <w:sz w:val="28"/>
        </w:rPr>
        <w:t>Akce                   : VÍCEÚČELOVÝ OBJEKT</w:t>
      </w:r>
      <w:r>
        <w:rPr>
          <w:b/>
          <w:sz w:val="28"/>
          <w:szCs w:val="28"/>
        </w:rPr>
        <w:t xml:space="preserve"> č.p. 55, Zlatá Koruna</w:t>
      </w:r>
    </w:p>
    <w:p>
      <w:pPr>
        <w:pStyle w:val="Normal"/>
        <w:rPr/>
      </w:pPr>
      <w:r>
        <w:rPr>
          <w:b/>
          <w:sz w:val="28"/>
          <w:szCs w:val="28"/>
        </w:rPr>
        <w:t xml:space="preserve">                              </w:t>
      </w:r>
      <w:r>
        <w:rPr>
          <w:b/>
          <w:sz w:val="28"/>
          <w:szCs w:val="28"/>
        </w:rPr>
        <w:t xml:space="preserve">STAVEBNÍ ÚPRAVY 2.NP </w:t>
      </w:r>
    </w:p>
    <w:p>
      <w:pPr>
        <w:pStyle w:val="Normal"/>
        <w:rPr/>
      </w:pPr>
      <w:r>
        <w:rPr>
          <w:b/>
          <w:sz w:val="28"/>
          <w:szCs w:val="28"/>
        </w:rPr>
        <w:t xml:space="preserve">                              </w:t>
      </w:r>
      <w:r>
        <w:rPr>
          <w:b/>
          <w:sz w:val="28"/>
          <w:szCs w:val="28"/>
        </w:rPr>
        <w:t xml:space="preserve">VESTAVBA 2. TŘÍD MATEŘSKÉ ŠKOLKY </w:t>
      </w:r>
    </w:p>
    <w:p>
      <w:pPr>
        <w:pStyle w:val="Normal"/>
        <w:rPr>
          <w:b/>
          <w:sz w:val="28"/>
          <w:szCs w:val="28"/>
        </w:rPr>
      </w:pPr>
      <w:r>
        <w:rPr>
          <w:b/>
          <w:sz w:val="28"/>
          <w:szCs w:val="28"/>
        </w:rPr>
      </w:r>
    </w:p>
    <w:p>
      <w:pPr>
        <w:pStyle w:val="Normal"/>
        <w:rPr>
          <w:b/>
          <w:sz w:val="28"/>
          <w:szCs w:val="28"/>
        </w:rPr>
      </w:pPr>
      <w:r>
        <w:rPr>
          <w:b/>
          <w:sz w:val="28"/>
          <w:szCs w:val="28"/>
        </w:rPr>
      </w:r>
    </w:p>
    <w:p>
      <w:pPr>
        <w:pStyle w:val="Normal"/>
        <w:rPr>
          <w:b/>
          <w:sz w:val="32"/>
          <w:szCs w:val="32"/>
        </w:rPr>
      </w:pPr>
      <w:r>
        <w:rPr>
          <w:b/>
          <w:sz w:val="32"/>
          <w:szCs w:val="32"/>
        </w:rPr>
        <w:t xml:space="preserve">                          </w:t>
      </w:r>
      <w:r>
        <w:rPr>
          <w:b/>
          <w:sz w:val="32"/>
          <w:szCs w:val="32"/>
        </w:rPr>
        <w:t xml:space="preserve">TECHNICKÁ SPECIFIKACE VÝTAHU </w:t>
      </w:r>
    </w:p>
    <w:p>
      <w:pPr>
        <w:pStyle w:val="Normal"/>
        <w:rPr>
          <w:b/>
          <w:sz w:val="28"/>
          <w:szCs w:val="28"/>
        </w:rPr>
      </w:pPr>
      <w:r>
        <w:rPr>
          <w:b/>
          <w:sz w:val="28"/>
          <w:szCs w:val="28"/>
        </w:rPr>
      </w:r>
    </w:p>
    <w:p>
      <w:pPr>
        <w:pStyle w:val="Normal"/>
        <w:rPr/>
      </w:pPr>
      <w:r>
        <w:rPr/>
        <w:t>Investor                    : Obec Zlatá Koruna</w:t>
      </w:r>
    </w:p>
    <w:p>
      <w:pPr>
        <w:pStyle w:val="Normal"/>
        <w:rPr/>
      </w:pPr>
      <w:r>
        <w:rPr/>
        <w:t xml:space="preserve">                                   </w:t>
      </w:r>
      <w:r>
        <w:rPr/>
        <w:t>Zlatá Koruna 55, 382 02 Zlatá Koruna</w:t>
      </w:r>
    </w:p>
    <w:p>
      <w:pPr>
        <w:pStyle w:val="Normal"/>
        <w:rPr/>
      </w:pPr>
      <w:r>
        <w:rPr/>
      </w:r>
    </w:p>
    <w:p>
      <w:pPr>
        <w:pStyle w:val="Normal"/>
        <w:rPr/>
      </w:pPr>
      <w:r>
        <w:rPr/>
        <w:t xml:space="preserve">                                     </w:t>
      </w:r>
    </w:p>
    <w:p>
      <w:pPr>
        <w:pStyle w:val="Normal"/>
        <w:rPr/>
      </w:pPr>
      <w:r>
        <w:rPr/>
      </w:r>
    </w:p>
    <w:p>
      <w:pPr>
        <w:pStyle w:val="Normal"/>
        <w:rPr/>
      </w:pPr>
      <w:r>
        <w:rPr/>
        <w:t>Projektant                 : Ing. Ladislav Sláma</w:t>
      </w:r>
    </w:p>
    <w:p>
      <w:pPr>
        <w:pStyle w:val="Normal"/>
        <w:rPr/>
      </w:pPr>
      <w:r>
        <w:rPr/>
        <w:t xml:space="preserve">                                    </w:t>
      </w:r>
      <w:r>
        <w:rPr/>
        <w:t>Zubčice 41, 382 32 Velešín</w:t>
      </w:r>
    </w:p>
    <w:p>
      <w:pPr>
        <w:pStyle w:val="Normal"/>
        <w:rPr/>
      </w:pPr>
      <w:r>
        <w:rPr/>
        <w:t xml:space="preserve">                           </w:t>
      </w:r>
      <w:r>
        <w:rPr/>
        <w:tab/>
        <w:t xml:space="preserve">  </w:t>
        <w:tab/>
        <w:t xml:space="preserve">        </w:t>
        <w:tab/>
      </w:r>
    </w:p>
    <w:p>
      <w:pPr>
        <w:pStyle w:val="Normal"/>
        <w:rPr/>
      </w:pPr>
      <w:r>
        <w:rPr/>
      </w:r>
    </w:p>
    <w:p>
      <w:pPr>
        <w:pStyle w:val="Normal"/>
        <w:rPr/>
      </w:pPr>
      <w:r>
        <w:rPr/>
        <w:t>Stupeň PD                :  Dokumentace pro povolení stavby</w:t>
      </w:r>
    </w:p>
    <w:p>
      <w:pPr>
        <w:pStyle w:val="Normal"/>
        <w:rPr/>
      </w:pPr>
      <w:r>
        <w:rPr/>
      </w:r>
    </w:p>
    <w:p>
      <w:pPr>
        <w:pStyle w:val="Normal"/>
        <w:rPr/>
      </w:pPr>
      <w:r>
        <w:rPr/>
        <w:t xml:space="preserve">Datum / zakázka      :  03 / 2024 – MŠ/ZK/24    </w:t>
        <w:tab/>
      </w:r>
    </w:p>
    <w:p>
      <w:pPr>
        <w:pStyle w:val="Normal"/>
        <w:rPr/>
      </w:pPr>
      <w:r>
        <w:rPr/>
      </w:r>
    </w:p>
    <w:p>
      <w:pPr>
        <w:pStyle w:val="Normal"/>
        <w:spacing w:lineRule="auto" w:line="240"/>
        <w:rPr>
          <w:rFonts w:ascii="Century Gothic" w:hAnsi="Century Gothic"/>
          <w:b/>
          <w:bCs/>
          <w:sz w:val="19"/>
          <w:szCs w:val="19"/>
        </w:rPr>
      </w:pPr>
      <w:r>
        <w:rPr>
          <w:rFonts w:ascii="Century Gothic" w:hAnsi="Century Gothic"/>
          <w:b/>
          <w:bCs/>
          <w:sz w:val="19"/>
          <w:szCs w:val="19"/>
        </w:rPr>
      </w:r>
    </w:p>
    <w:p>
      <w:pPr>
        <w:pStyle w:val="Normal"/>
        <w:spacing w:lineRule="auto" w:line="240"/>
        <w:rPr>
          <w:rFonts w:ascii="Century Gothic" w:hAnsi="Century Gothic"/>
          <w:b/>
          <w:bCs/>
          <w:sz w:val="19"/>
          <w:szCs w:val="19"/>
        </w:rPr>
      </w:pPr>
      <w:r>
        <w:rPr>
          <w:rFonts w:ascii="Century Gothic" w:hAnsi="Century Gothic"/>
          <w:b/>
          <w:bCs/>
          <w:sz w:val="19"/>
          <w:szCs w:val="19"/>
        </w:rPr>
      </w:r>
    </w:p>
    <w:p>
      <w:pPr>
        <w:pStyle w:val="Normal"/>
        <w:rPr>
          <w:b/>
          <w:sz w:val="32"/>
          <w:szCs w:val="32"/>
        </w:rPr>
      </w:pPr>
      <w:r>
        <w:rPr>
          <w:b/>
          <w:sz w:val="32"/>
          <w:szCs w:val="32"/>
        </w:rPr>
        <w:t xml:space="preserve">                                                                 </w:t>
      </w:r>
      <w:r>
        <w:rPr>
          <w:b/>
          <w:sz w:val="44"/>
          <w:szCs w:val="44"/>
        </w:rPr>
        <w:t xml:space="preserve"> </w:t>
      </w:r>
    </w:p>
    <w:p>
      <w:pPr>
        <w:pStyle w:val="TdNormal"/>
        <w:spacing w:lineRule="auto" w:line="240"/>
        <w:rPr>
          <w:rFonts w:ascii="Century Gothic" w:hAnsi="Century Gothic"/>
          <w:b/>
          <w:bCs/>
          <w:sz w:val="19"/>
          <w:szCs w:val="19"/>
        </w:rPr>
      </w:pPr>
      <w:r>
        <w:rPr>
          <w:rFonts w:ascii="Century Gothic" w:hAnsi="Century Gothic"/>
          <w:b/>
          <w:bCs/>
          <w:sz w:val="19"/>
          <w:szCs w:val="19"/>
        </w:rPr>
      </w:r>
    </w:p>
    <w:p>
      <w:pPr>
        <w:pStyle w:val="TdNormal"/>
        <w:spacing w:lineRule="auto" w:line="240"/>
        <w:rPr>
          <w:rFonts w:ascii="Century Gothic" w:hAnsi="Century Gothic"/>
          <w:b/>
          <w:bCs/>
          <w:sz w:val="19"/>
          <w:szCs w:val="19"/>
        </w:rPr>
      </w:pPr>
      <w:r>
        <w:rPr>
          <w:rFonts w:ascii="Century Gothic" w:hAnsi="Century Gothic"/>
          <w:b/>
          <w:bCs/>
          <w:sz w:val="19"/>
          <w:szCs w:val="19"/>
        </w:rPr>
        <w:t xml:space="preserve">V nabídkové ceně je zahrnuto: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výroba nabízeného zařízení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technická dokumentace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dodávka na místo instalace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osvětlení výtahové šachty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žebřík do prohlubně výtahové šachty</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UDZ+GSM – univerzální dorozumívací zařízen GSM bránu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likvidace vlastního odpadu – obalové materiály</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montážní lešení </w:t>
      </w:r>
    </w:p>
    <w:p>
      <w:pPr>
        <w:pStyle w:val="TdNormal"/>
        <w:numPr>
          <w:ilvl w:val="0"/>
          <w:numId w:val="5"/>
        </w:numPr>
        <w:spacing w:lineRule="auto" w:line="240"/>
        <w:rPr>
          <w:rFonts w:ascii="Century Gothic" w:hAnsi="Century Gothic"/>
          <w:b/>
          <w:bCs/>
          <w:sz w:val="19"/>
          <w:szCs w:val="19"/>
        </w:rPr>
      </w:pPr>
      <w:r>
        <w:rPr>
          <w:rFonts w:ascii="Century Gothic" w:hAnsi="Century Gothic"/>
          <w:sz w:val="19"/>
          <w:szCs w:val="19"/>
        </w:rPr>
        <w:t xml:space="preserve">dodávku certifikovaných montážních závěsů zhotovitele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 xml:space="preserve">automatický sjezd výtahu při výpadku hlavního napětí do nejbližší stanice ve směru menší energetické náročnosti a otevření dveří </w:t>
      </w:r>
    </w:p>
    <w:p>
      <w:pPr>
        <w:pStyle w:val="TdNormal"/>
        <w:numPr>
          <w:ilvl w:val="0"/>
          <w:numId w:val="5"/>
        </w:numPr>
        <w:spacing w:lineRule="auto" w:line="240"/>
        <w:rPr>
          <w:rFonts w:ascii="Century Gothic" w:hAnsi="Century Gothic"/>
          <w:sz w:val="19"/>
          <w:szCs w:val="19"/>
        </w:rPr>
      </w:pPr>
      <w:r>
        <w:rPr>
          <w:rFonts w:ascii="Century Gothic" w:hAnsi="Century Gothic"/>
          <w:sz w:val="19"/>
          <w:szCs w:val="19"/>
        </w:rPr>
        <w:t>výtahová šachta  (ocelová konstrukce s opláštěním)</w:t>
      </w:r>
    </w:p>
    <w:p>
      <w:pPr>
        <w:pStyle w:val="TdNormal"/>
        <w:spacing w:lineRule="auto" w:line="240"/>
        <w:ind w:left="644" w:hanging="0"/>
        <w:rPr>
          <w:rFonts w:ascii="Century Gothic" w:hAnsi="Century Gothic"/>
          <w:b/>
          <w:bCs/>
          <w:sz w:val="19"/>
          <w:szCs w:val="19"/>
        </w:rPr>
      </w:pPr>
      <w:r>
        <w:rPr>
          <w:rFonts w:ascii="Century Gothic" w:hAnsi="Century Gothic"/>
          <w:b/>
          <w:bCs/>
          <w:sz w:val="19"/>
          <w:szCs w:val="19"/>
        </w:rPr>
      </w:r>
    </w:p>
    <w:p>
      <w:pPr>
        <w:pStyle w:val="TdNormal"/>
        <w:spacing w:lineRule="auto" w:line="240"/>
        <w:rPr>
          <w:rFonts w:ascii="Century Gothic" w:hAnsi="Century Gothic"/>
          <w:b/>
          <w:bCs/>
          <w:sz w:val="19"/>
          <w:szCs w:val="19"/>
        </w:rPr>
      </w:pPr>
      <w:r>
        <w:rPr>
          <w:rFonts w:ascii="Century Gothic" w:hAnsi="Century Gothic"/>
          <w:b/>
          <w:bCs/>
          <w:sz w:val="19"/>
          <w:szCs w:val="19"/>
        </w:rPr>
        <w:t xml:space="preserve">V nabídkové ceně nejsou zahrnuty tyto položky (zajistí objednatel):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zajištění přístupové cesty pro nákladní automobil s návěsem (dodávka výtahu na stavbu)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náklady na zařízení staveniště zhotovitele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sklad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geodetické zaměření stavby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výtahová šachta  (prohlubeň)</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stavební práce související s montáží výtahu</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zhotovení elektrického přívodu k rozvaděči výtahu včetně výchozí revize</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trasování mezi rozvaděči výtahu a výtahovou šachtou (platí pouze v případě kdy je rozvaděč umístěn mimo nástupiště)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náhradní zdroj a přívod od náhradního zdroje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napojení výtahu na záložní zdroj objektu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automatické přepnutí výtahu při požáru (na základě signálu z EPS budovy)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bezhalogenové (nehořlavé) provedení kabeláže výtahu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požární odolnosti dvířek rozvaděče výtahu</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zajištění ochrany proti přenosu hluku a vibrací způsobených výtahovým zařízením do akusticky chráněných místností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zajištění propojení datovým kabelem mezi velínem a rozvaděči výtahů – v případě potřeby</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vodiče připojení MaR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doplnění čelní / zadní stěny po instalaci výtahu</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začištění dveřních otvorů po instalaci dveří, požární ucpávky, nerezové portály okolo dveří </w:t>
      </w:r>
    </w:p>
    <w:p>
      <w:pPr>
        <w:pStyle w:val="TdNormal"/>
        <w:numPr>
          <w:ilvl w:val="0"/>
          <w:numId w:val="4"/>
        </w:numPr>
        <w:spacing w:lineRule="auto" w:line="240"/>
        <w:rPr>
          <w:rFonts w:ascii="Century Gothic" w:hAnsi="Century Gothic"/>
          <w:sz w:val="19"/>
          <w:szCs w:val="19"/>
        </w:rPr>
      </w:pPr>
      <w:r>
        <w:rPr>
          <w:rFonts w:ascii="Century Gothic" w:hAnsi="Century Gothic"/>
          <w:sz w:val="19"/>
          <w:szCs w:val="19"/>
        </w:rPr>
        <w:t xml:space="preserve">měření hluku výtahu po ukončení montáže dle Nařízení vlády č. 148/2006 </w:t>
      </w:r>
    </w:p>
    <w:p>
      <w:pPr>
        <w:pStyle w:val="TdSpace"/>
        <w:numPr>
          <w:ilvl w:val="0"/>
          <w:numId w:val="3"/>
        </w:numPr>
        <w:rPr/>
      </w:pPr>
      <w:r>
        <w:rPr/>
      </w:r>
      <w:r>
        <w:br w:type="page"/>
      </w:r>
    </w:p>
    <w:tbl>
      <w:tblPr>
        <w:tblStyle w:val="Mkatabulky"/>
        <w:tblW w:w="9498" w:type="dxa"/>
        <w:jc w:val="left"/>
        <w:tblInd w:w="0" w:type="dxa"/>
        <w:tblLayout w:type="fixed"/>
        <w:tblCellMar>
          <w:top w:w="57" w:type="dxa"/>
          <w:left w:w="108" w:type="dxa"/>
          <w:bottom w:w="57" w:type="dxa"/>
          <w:right w:w="108" w:type="dxa"/>
        </w:tblCellMar>
        <w:tblLook w:firstRow="1" w:noVBand="1" w:lastRow="0" w:firstColumn="1" w:lastColumn="0" w:noHBand="0" w:val="04a0"/>
      </w:tblPr>
      <w:tblGrid>
        <w:gridCol w:w="3329"/>
        <w:gridCol w:w="6168"/>
      </w:tblGrid>
      <w:tr>
        <w:trPr/>
        <w:tc>
          <w:tcPr>
            <w:tcW w:w="3329" w:type="dxa"/>
            <w:tcBorders>
              <w:top w:val="single" w:sz="12" w:space="0" w:color="1F4E79"/>
              <w:left w:val="nil"/>
              <w:bottom w:val="single" w:sz="2" w:space="0" w:color="1F4E79"/>
              <w:right w:val="dotted" w:sz="4" w:space="0" w:color="1F4E79"/>
            </w:tcBorders>
          </w:tcPr>
          <w:p>
            <w:pPr>
              <w:pStyle w:val="Normal"/>
              <w:pageBreakBefore/>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b/>
                <w:color w:val="041E42"/>
                <w:kern w:val="0"/>
                <w:sz w:val="19"/>
                <w:szCs w:val="19"/>
                <w:lang w:bidi="ar-SA"/>
              </w:rPr>
              <w:t>TYP VÝTAHU:</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bCs/>
                <w:iCs/>
                <w:color w:val="041E42"/>
                <w:sz w:val="19"/>
                <w:szCs w:val="19"/>
              </w:rPr>
            </w:pPr>
            <w:r>
              <w:rPr>
                <w:rFonts w:cs="Arial" w:ascii="Century Gothic" w:hAnsi="Century Gothic"/>
                <w:b/>
                <w:bCs/>
                <w:iCs/>
                <w:color w:val="041E42"/>
                <w:kern w:val="0"/>
                <w:sz w:val="19"/>
                <w:szCs w:val="19"/>
                <w:lang w:bidi="ar-SA"/>
              </w:rPr>
              <w:t>FLEX+</w:t>
            </w:r>
            <w:r>
              <w:rPr>
                <w:rFonts w:cs="Century Gothic" w:ascii="Century Gothic" w:hAnsi="Century Gothic"/>
                <w:b/>
                <w:bCs/>
                <w:color w:val="041E42"/>
                <w:kern w:val="0"/>
                <w:sz w:val="19"/>
                <w:szCs w:val="19"/>
                <w:lang w:bidi="ar-SA"/>
              </w:rPr>
              <w:t xml:space="preserve"> </w:t>
            </w:r>
          </w:p>
        </w:tc>
      </w:tr>
      <w:tr>
        <w:trPr/>
        <w:tc>
          <w:tcPr>
            <w:tcW w:w="3329" w:type="dxa"/>
            <w:tcBorders>
              <w:top w:val="single" w:sz="2" w:space="0" w:color="1F4E79"/>
              <w:left w:val="nil"/>
              <w:bottom w:val="single" w:sz="12" w:space="0" w:color="1F4E79"/>
              <w:right w:val="nil"/>
            </w:tcBorders>
          </w:tcPr>
          <w:p>
            <w:pPr>
              <w:pStyle w:val="Normal"/>
              <w:widowControl w:val="false"/>
              <w:suppressAutoHyphens w:val="true"/>
              <w:spacing w:lineRule="auto" w:line="240" w:before="60" w:after="0"/>
              <w:jc w:val="left"/>
              <w:rPr>
                <w:rFonts w:ascii="Century Gothic" w:hAnsi="Century Gothic" w:cs="Arial"/>
                <w:b/>
                <w:color w:val="041E42"/>
                <w:sz w:val="19"/>
                <w:szCs w:val="19"/>
              </w:rPr>
            </w:pPr>
            <w:r>
              <w:rPr>
                <w:rFonts w:cs="Arial" w:ascii="Century Gothic" w:hAnsi="Century Gothic"/>
                <w:b/>
                <w:color w:val="041E42"/>
                <w:sz w:val="19"/>
                <w:szCs w:val="19"/>
              </w:rPr>
            </w:r>
          </w:p>
        </w:tc>
        <w:tc>
          <w:tcPr>
            <w:tcW w:w="6168"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sz w:val="19"/>
                <w:szCs w:val="19"/>
              </w:rPr>
            </w:r>
          </w:p>
        </w:tc>
      </w:tr>
      <w:tr>
        <w:trPr/>
        <w:tc>
          <w:tcPr>
            <w:tcW w:w="3329" w:type="dxa"/>
            <w:tcBorders>
              <w:top w:val="single" w:sz="1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b/>
                <w:color w:val="041E42"/>
                <w:kern w:val="0"/>
                <w:sz w:val="19"/>
                <w:szCs w:val="19"/>
                <w:lang w:bidi="ar-SA"/>
              </w:rPr>
              <w:t>HLAVNÍ PARAMETRY / UMÍSTĚNÍ VÝTAHU</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b/>
                <w:bCs/>
                <w:color w:val="041E42"/>
                <w:kern w:val="0"/>
                <w:sz w:val="19"/>
                <w:szCs w:val="19"/>
                <w:lang w:bidi="ar-SA"/>
              </w:rPr>
              <w:t>Group 1</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Počet stanic / nástupišť:</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4 / 4 průchozí do 3 stran</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Nosnost / počet osob:</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olor w:val="041E42"/>
                <w:sz w:val="19"/>
                <w:szCs w:val="19"/>
              </w:rPr>
            </w:pPr>
            <w:r>
              <w:rPr>
                <w:rFonts w:ascii="Century Gothic" w:hAnsi="Century Gothic"/>
                <w:color w:val="041E42"/>
                <w:kern w:val="0"/>
                <w:sz w:val="19"/>
                <w:szCs w:val="19"/>
                <w:lang w:bidi="ar-SA"/>
              </w:rPr>
              <w:t xml:space="preserve">900 kg / </w:t>
            </w:r>
            <w:r>
              <w:rPr>
                <w:rFonts w:cs="Century Gothic" w:ascii="Century Gothic" w:hAnsi="Century Gothic"/>
                <w:color w:val="041E42"/>
                <w:kern w:val="0"/>
                <w:sz w:val="19"/>
                <w:szCs w:val="19"/>
                <w:lang w:bidi="ar-SA"/>
              </w:rPr>
              <w:t>11</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Jmenovitá rychlost:</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1 m/s</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Typ řízení: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olor w:val="041E42"/>
                <w:sz w:val="19"/>
                <w:szCs w:val="19"/>
              </w:rPr>
            </w:pPr>
            <w:r>
              <w:rPr>
                <w:rFonts w:cs="Arial" w:ascii="Century Gothic" w:hAnsi="Century Gothic"/>
                <w:iCs/>
                <w:color w:val="041E42"/>
                <w:kern w:val="0"/>
                <w:sz w:val="19"/>
                <w:szCs w:val="19"/>
                <w:lang w:bidi="ar-SA"/>
              </w:rPr>
              <w:t>J</w:t>
            </w:r>
            <w:r>
              <w:rPr>
                <w:rFonts w:cs="Arial" w:ascii="Century Gothic" w:hAnsi="Century Gothic"/>
                <w:color w:val="041E42"/>
                <w:kern w:val="0"/>
                <w:sz w:val="19"/>
                <w:szCs w:val="19"/>
                <w:lang w:bidi="ar-SA"/>
              </w:rPr>
              <w:t>ednosměrné sběrné řízení směrem dolů</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Skupina výtahů:</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color w:val="041E42"/>
                <w:kern w:val="0"/>
                <w:sz w:val="19"/>
                <w:szCs w:val="19"/>
                <w:lang w:bidi="ar-SA"/>
              </w:rPr>
              <w:t>Simplex 1 jednotka ve skupině s</w:t>
            </w:r>
            <w:r>
              <w:rPr>
                <w:rFonts w:cs="Arial" w:ascii="Century Gothic" w:hAnsi="Century Gothic"/>
                <w:iCs/>
                <w:color w:val="041E42"/>
                <w:kern w:val="0"/>
                <w:sz w:val="19"/>
                <w:szCs w:val="19"/>
                <w:lang w:bidi="ar-SA"/>
              </w:rPr>
              <w:t xml:space="preserve"> unikátním dvoucestným frekvenčním měničem vyvinutým pro rekuperaci elektrické energie</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Rozvaděč výtahu: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OTIS mikroprocesorový, vyvinutý pro systém GEN2</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Pohon:</w:t>
            </w:r>
          </w:p>
        </w:tc>
        <w:tc>
          <w:tcPr>
            <w:tcW w:w="6168" w:type="dxa"/>
            <w:tcBorders>
              <w:top w:val="single" w:sz="2" w:space="0" w:color="1F4E79"/>
              <w:left w:val="dotted" w:sz="4" w:space="0" w:color="1F4E79"/>
              <w:bottom w:val="single" w:sz="2" w:space="0" w:color="1F4E79"/>
              <w:right w:val="nil"/>
            </w:tcBorders>
          </w:tcPr>
          <w:p>
            <w:pPr>
              <w:pStyle w:val="ListParagraph"/>
              <w:widowControl w:val="false"/>
              <w:numPr>
                <w:ilvl w:val="0"/>
                <w:numId w:val="6"/>
              </w:numPr>
              <w:suppressAutoHyphens w:val="true"/>
              <w:spacing w:lineRule="auto" w:line="240" w:before="60" w:after="0"/>
              <w:contextualSpacing/>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 xml:space="preserve">elektrický trakční s frekvenčním pohonem pro plynulý rozběh a dojezd výtahu </w:t>
            </w:r>
          </w:p>
          <w:p>
            <w:pPr>
              <w:pStyle w:val="ListParagraph"/>
              <w:widowControl w:val="false"/>
              <w:numPr>
                <w:ilvl w:val="0"/>
                <w:numId w:val="6"/>
              </w:numPr>
              <w:suppressAutoHyphens w:val="true"/>
              <w:spacing w:lineRule="auto" w:line="240" w:before="60" w:after="0"/>
              <w:contextualSpacing/>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bezpřevodový pohon s účinností až 90%</w:t>
            </w:r>
          </w:p>
          <w:p>
            <w:pPr>
              <w:pStyle w:val="ListParagraph"/>
              <w:widowControl w:val="false"/>
              <w:numPr>
                <w:ilvl w:val="0"/>
                <w:numId w:val="6"/>
              </w:numPr>
              <w:suppressAutoHyphens w:val="true"/>
              <w:spacing w:lineRule="auto" w:line="240" w:before="60" w:after="0"/>
              <w:contextualSpacing/>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bezpřevodový synchronní motor, který má oproti asynchronním strojům vyšší účinnost a také delší životnost, s rekuperací elektrické energie</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Nosné prostředky:</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iCs/>
                <w:color w:val="041E42"/>
                <w:kern w:val="0"/>
                <w:sz w:val="19"/>
                <w:szCs w:val="19"/>
                <w:lang w:bidi="ar-SA"/>
              </w:rPr>
              <w:t>Ploché pásy – patent společnosti OTIS – testovány na 120 milionů cyklů – vyšší životnost oproti klasickým ocelovým lanům, ověřená technologie bez potřeby mazání, s nepřetržitým monitorováním stavu pásů</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color w:val="041E42"/>
                <w:kern w:val="0"/>
                <w:sz w:val="19"/>
                <w:szCs w:val="19"/>
                <w:lang w:bidi="ar-SA"/>
              </w:rPr>
              <w:t>Maximální počet startů:</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150 za hodinu</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Umístění pohonu: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Výtah bez strojovny, pohon umístěn v horní části výtahové šachty pod stropem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Dorozumívací zařízení: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Obousměrné dorozumívací zařízení přes GSM bránu (SIM v rámci servisního kontraktu)</w:t>
            </w:r>
          </w:p>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Dálkový online monitorovací a diagnostický systém</w:t>
            </w:r>
          </w:p>
        </w:tc>
      </w:tr>
      <w:tr>
        <w:trPr/>
        <w:tc>
          <w:tcPr>
            <w:tcW w:w="3329" w:type="dxa"/>
            <w:tcBorders>
              <w:top w:val="single" w:sz="2" w:space="0" w:color="1F4E79"/>
              <w:left w:val="nil"/>
              <w:bottom w:val="single" w:sz="1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c>
          <w:tcPr>
            <w:tcW w:w="6168" w:type="dxa"/>
            <w:tcBorders>
              <w:top w:val="single" w:sz="2" w:space="0" w:color="1F4E79"/>
              <w:left w:val="dotted" w:sz="4" w:space="0" w:color="1F4E79"/>
              <w:bottom w:val="nil"/>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highlight w:val="yellow"/>
              </w:rPr>
            </w:pPr>
            <w:r>
              <w:rPr>
                <w:rFonts w:cs="Arial" w:ascii="Century Gothic" w:hAnsi="Century Gothic"/>
                <w:iCs/>
                <w:color w:val="041E42"/>
                <w:sz w:val="19"/>
                <w:szCs w:val="19"/>
                <w:highlight w:val="yellow"/>
              </w:rPr>
            </w:r>
          </w:p>
        </w:tc>
      </w:tr>
      <w:tr>
        <w:trPr/>
        <w:tc>
          <w:tcPr>
            <w:tcW w:w="3329" w:type="dxa"/>
            <w:tcBorders>
              <w:top w:val="single" w:sz="12" w:space="0" w:color="1F4E79"/>
              <w:left w:val="nil"/>
              <w:bottom w:val="single" w:sz="2" w:space="0" w:color="1F4E79"/>
              <w:right w:val="dotted" w:sz="4" w:space="0" w:color="1F4E79"/>
            </w:tcBorders>
          </w:tcPr>
          <w:p>
            <w:pPr>
              <w:pStyle w:val="Default"/>
              <w:widowControl w:val="false"/>
              <w:suppressAutoHyphens w:val="true"/>
              <w:spacing w:before="60" w:after="0"/>
              <w:jc w:val="left"/>
              <w:rPr>
                <w:rFonts w:ascii="Century Gothic" w:hAnsi="Century Gothic" w:cs="Arial"/>
                <w:b/>
                <w:color w:val="041E42"/>
                <w:sz w:val="19"/>
                <w:szCs w:val="19"/>
              </w:rPr>
            </w:pPr>
            <w:r>
              <w:rPr>
                <w:rFonts w:cs="Arial" w:ascii="Century Gothic" w:hAnsi="Century Gothic"/>
                <w:b/>
                <w:color w:val="041E42"/>
                <w:kern w:val="0"/>
                <w:sz w:val="19"/>
                <w:szCs w:val="19"/>
                <w:lang w:bidi="ar-SA"/>
              </w:rPr>
              <w:t xml:space="preserve">ŠACHTA </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sz w:val="19"/>
                <w:szCs w:val="19"/>
              </w:rPr>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Provedení šachty (materiál):</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olor w:val="041E42"/>
                <w:sz w:val="19"/>
                <w:szCs w:val="19"/>
              </w:rPr>
            </w:pPr>
            <w:sdt>
              <w:sdtPr>
                <w:dropDownList>
                  <w:listItem w:displayText="Choose an item." w:value="Choose an item."/>
                  <w:listItem w:displayText="Monolitická železobetonová konstrukce" w:value="Monolitická železobetonová konstrukce"/>
                  <w:listItem w:displayText="Prefabrikovaná železobetonová konstrukce" w:value="Prefabrikovaná železobetonová konstrukce"/>
                  <w:listItem w:displayText="Zděná / Betonové tvárnice (armované)" w:value="Zděná / Betonové tvárnice (armované)"/>
                  <w:listItem w:displayText="Zděná / Keramické dutinové cihly (Porotherm) / *Nutnost ŽB věnců v úrovni kotvení vodítek výtahu" w:value="Zděná / Keramické dutinové cihly (Porotherm) / *Nutnost ŽB věnců v úrovni kotvení vodítek výtahu"/>
                  <w:listItem w:displayText="Zděná / Stávající stavba / Podléhá posouzení " w:value="Zděná / Stávající stavba / Podléhá posouzení "/>
                  <w:listItem w:displayText="Ocelová opláštěná konstrukce" w:value="Ocelová opláštěná konstrukce"/>
                  <w:listItem w:displayText="Neuvedeno" w:value="Neuvedeno"/>
                </w:dropDownList>
              </w:sdtPr>
              <w:sdtContent>
                <w:r>
                  <w:rPr/>
                </w:r>
                <w:r>
                  <w:rPr/>
                  <w:t>Ocelová opláštěná konstrukce</w:t>
                </w:r>
              </w:sdtContent>
            </w:sdt>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Zdvih:</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color w:val="041E42"/>
                <w:kern w:val="0"/>
                <w:sz w:val="19"/>
                <w:szCs w:val="19"/>
                <w:lang w:bidi="ar-SA"/>
              </w:rPr>
              <w:t>6.9 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Rozměry šachty (š x h):</w:t>
              <w:tab/>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color w:val="041E42"/>
                <w:sz w:val="19"/>
                <w:szCs w:val="19"/>
              </w:rPr>
            </w:pPr>
            <w:r>
              <w:rPr>
                <w:rFonts w:cs="Arial" w:ascii="Century Gothic" w:hAnsi="Century Gothic"/>
                <w:b/>
                <w:iCs/>
                <w:color w:val="041E42"/>
                <w:kern w:val="0"/>
                <w:sz w:val="19"/>
                <w:szCs w:val="19"/>
                <w:lang w:bidi="ar-SA"/>
              </w:rPr>
              <w:t>2085 mm x 1910 mm – čistý vnitřní rozměr</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Prohlubeň výtahu: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1050 mm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Horní přejezd výtahu: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2600 mm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Prostory pod šachtou: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Protiváha bez zachycovačů (pod výtahovou šachtou se nenachází podchozí prostory)</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Osvětlení výtahové šachty:</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val="en-US" w:bidi="ar-SA"/>
              </w:rPr>
              <w:t>Ano / LED osvětlení</w:t>
            </w:r>
          </w:p>
        </w:tc>
      </w:tr>
      <w:tr>
        <w:trPr/>
        <w:tc>
          <w:tcPr>
            <w:tcW w:w="3329" w:type="dxa"/>
            <w:tcBorders>
              <w:top w:val="single" w:sz="2" w:space="0" w:color="1F4E79"/>
              <w:left w:val="nil"/>
              <w:bottom w:val="single" w:sz="1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c>
          <w:tcPr>
            <w:tcW w:w="6168"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sz w:val="19"/>
                <w:szCs w:val="19"/>
              </w:rPr>
            </w:r>
          </w:p>
        </w:tc>
      </w:tr>
      <w:tr>
        <w:trPr/>
        <w:tc>
          <w:tcPr>
            <w:tcW w:w="3329" w:type="dxa"/>
            <w:tcBorders>
              <w:top w:val="single" w:sz="1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color w:val="041E42"/>
                <w:sz w:val="19"/>
                <w:szCs w:val="19"/>
              </w:rPr>
            </w:pPr>
            <w:r>
              <w:rPr>
                <w:rFonts w:cs="Arial" w:ascii="Century Gothic" w:hAnsi="Century Gothic"/>
                <w:b/>
                <w:color w:val="041E42"/>
                <w:kern w:val="0"/>
                <w:sz w:val="19"/>
                <w:szCs w:val="19"/>
                <w:lang w:bidi="ar-SA"/>
              </w:rPr>
              <w:t>KABINA</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sz w:val="19"/>
                <w:szCs w:val="19"/>
              </w:rPr>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Estetika kabiny:</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Ambiance Modern Standard</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Rozměry kabiny (š x hl x v):</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iCs/>
                <w:color w:val="041E42"/>
                <w:sz w:val="19"/>
                <w:szCs w:val="19"/>
              </w:rPr>
            </w:pPr>
            <w:r>
              <w:rPr>
                <w:rFonts w:cs="Arial" w:ascii="Century Gothic" w:hAnsi="Century Gothic"/>
                <w:b/>
                <w:iCs/>
                <w:color w:val="041E42"/>
                <w:kern w:val="0"/>
                <w:sz w:val="19"/>
                <w:szCs w:val="19"/>
                <w:lang w:bidi="ar-SA"/>
              </w:rPr>
              <w:t>1400 mm x 1400 mm x 2200 mm</w:t>
            </w:r>
          </w:p>
        </w:tc>
      </w:tr>
      <w:tr>
        <w:trPr>
          <w:trHeight w:val="572" w:hRule="atLeast"/>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Stěny kabiny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76" w:before="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Skinplate dle katalogu</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Čelní portál v kabině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Nerez brus 220</w:t>
            </w:r>
          </w:p>
          <w:p>
            <w:pPr>
              <w:pStyle w:val="Normal"/>
              <w:widowControl w:val="false"/>
              <w:suppressAutoHyphens w:val="true"/>
              <w:spacing w:before="0" w:after="0"/>
              <w:jc w:val="left"/>
              <w:rPr>
                <w:rFonts w:ascii="Century Gothic" w:hAnsi="Century Gothic" w:cs="Century Gothic"/>
                <w:color w:val="041E42"/>
                <w:sz w:val="19"/>
                <w:szCs w:val="19"/>
              </w:rPr>
            </w:pPr>
            <w:r>
              <w:rPr>
                <w:rFonts w:cs="Century Gothic" w:ascii="Century Gothic" w:hAnsi="Century Gothic"/>
                <w:color w:val="041E42"/>
                <w:kern w:val="0"/>
                <w:sz w:val="19"/>
                <w:szCs w:val="19"/>
                <w:lang w:val="en-GB" w:bidi="ar-SA"/>
              </w:rPr>
              <w:t>Nerez brus 220</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Podlaha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76" w:before="0" w:after="0"/>
              <w:jc w:val="left"/>
              <w:rPr>
                <w:rFonts w:ascii="Century Gothic" w:hAnsi="Century Gothic" w:cs="Calibri"/>
                <w:color w:val="041E42"/>
                <w:sz w:val="19"/>
                <w:szCs w:val="19"/>
                <w:lang w:val="en-US"/>
              </w:rPr>
            </w:pPr>
            <w:r>
              <w:rPr>
                <w:rFonts w:cs="Arial" w:ascii="Century Gothic" w:hAnsi="Century Gothic"/>
                <w:iCs/>
                <w:color w:val="041E42"/>
                <w:kern w:val="0"/>
                <w:sz w:val="19"/>
                <w:szCs w:val="19"/>
                <w:lang w:bidi="ar-SA"/>
              </w:rPr>
              <w:t>Natural Cement</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Strop kabiny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Strukturální strop s LED osvětlením</w:t>
            </w:r>
            <w:r>
              <w:rPr>
                <w:rFonts w:cs="Arial" w:ascii="Century Gothic" w:hAnsi="Century Gothic"/>
                <w:color w:val="041E42"/>
                <w:kern w:val="0"/>
                <w:sz w:val="19"/>
                <w:szCs w:val="19"/>
                <w:lang w:bidi="ar-SA"/>
              </w:rPr>
              <w:t xml:space="preserve"> </w:t>
            </w:r>
            <w:r>
              <w:rPr>
                <w:rFonts w:cs="Arial" w:ascii="Century Gothic" w:hAnsi="Century Gothic"/>
                <w:iCs/>
                <w:color w:val="041E42"/>
                <w:kern w:val="0"/>
                <w:sz w:val="19"/>
                <w:szCs w:val="19"/>
                <w:lang w:bidi="ar-SA"/>
              </w:rPr>
              <w:t>/ Nerez brus 220</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Osvětlení kabiny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sdt>
              <w:sdtPr>
                <w:dropDownList>
                  <w:listItem w:displayText="Choose an item." w:value="Choose an item."/>
                  <w:listItem w:displayText="2 pásy s 8 bodovými LED světly" w:value="2 pásy s 8 bodovými LED světly"/>
                  <w:listItem w:displayText="2 bodová LED světla" w:value="2 bodová LED světla"/>
                  <w:listItem w:displayText="LED pásy v rozích kabiny, kolem ovládacího panelu a stropní LED panel" w:value="LED pásy v rozích kabiny, kolem ovládacího panelu a stropní LED panel"/>
                  <w:listItem w:displayText="LED pásy v rozích kabiny a kolem ovládacího panelu" w:value="LED pásy v rozích kabiny a kolem ovládacího panelu"/>
                  <w:listItem w:displayText="Neuvedeno" w:value="Neuvedeno"/>
                </w:dropDownList>
              </w:sdtPr>
              <w:sdtContent>
                <w:r>
                  <w:rPr/>
                </w:r>
                <w:r>
                  <w:rPr/>
                  <w:t>LED pásy v rozích kabiny, kolem ovládacího panelu a stropní LED panel</w:t>
                </w:r>
              </w:sdtContent>
            </w:sdt>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Okopové lišty:</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Ano</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Madlo / umístění: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Naproti ovládacího panelu – Ne</w:t>
            </w:r>
          </w:p>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Na straně ovládacího panelu – Ano</w:t>
            </w:r>
          </w:p>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Na zadní stěně – Ne</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Zrcadlo typ / umístění: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Vypouklé v horním rohu</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Ovládací panel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iCs/>
                <w:color w:val="041E42"/>
                <w:sz w:val="19"/>
                <w:szCs w:val="19"/>
              </w:rPr>
            </w:pPr>
            <w:r>
              <w:rPr>
                <w:rFonts w:cs="Arial" w:ascii="Century Gothic" w:hAnsi="Century Gothic"/>
                <w:iCs/>
                <w:color w:val="041E42"/>
                <w:kern w:val="0"/>
                <w:sz w:val="19"/>
                <w:szCs w:val="19"/>
                <w:lang w:bidi="ar-SA"/>
              </w:rPr>
              <w:t>Tablo krátké</w:t>
            </w:r>
            <w:r>
              <w:rPr>
                <w:rFonts w:cs="Century Gothic" w:ascii="Century Gothic" w:hAnsi="Century Gothic"/>
                <w:color w:val="041E42"/>
                <w:kern w:val="0"/>
                <w:sz w:val="19"/>
                <w:szCs w:val="19"/>
                <w:lang w:bidi="ar-SA"/>
              </w:rPr>
              <w:t>/</w:t>
            </w:r>
            <w:r>
              <w:rPr>
                <w:rFonts w:cs="Arial" w:ascii="Century Gothic" w:hAnsi="Century Gothic"/>
                <w:iCs/>
                <w:color w:val="041E42"/>
                <w:kern w:val="0"/>
                <w:sz w:val="19"/>
                <w:szCs w:val="19"/>
                <w:lang w:bidi="ar-SA"/>
              </w:rPr>
              <w:t>Nerez brus 220</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Multimediální display eView 10,5“</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Vybavení ovládacího panelu:</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 xml:space="preserve">Tlačítka se světelným potvrzením volby - </w:t>
            </w:r>
            <w:r>
              <w:rPr>
                <w:rFonts w:cs="Arial" w:ascii="Century Gothic" w:hAnsi="Century Gothic"/>
                <w:iCs/>
                <w:color w:val="041E42"/>
                <w:kern w:val="0"/>
                <w:sz w:val="19"/>
                <w:szCs w:val="19"/>
                <w:lang w:bidi="ar-SA"/>
              </w:rPr>
              <w:t>Ano</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Tlačítka se zvukovým potvrzením volby -</w:t>
            </w:r>
            <w:r>
              <w:rPr>
                <w:rFonts w:cs="Arial" w:ascii="Century Gothic" w:hAnsi="Century Gothic"/>
                <w:iCs/>
                <w:color w:val="041E42"/>
                <w:kern w:val="0"/>
                <w:sz w:val="19"/>
                <w:szCs w:val="19"/>
                <w:lang w:bidi="ar-SA"/>
              </w:rPr>
              <w:t>Ano</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Polohová a směrová signalizace - Ano</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Nouzové osvětlení kabiny - Ano</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Hlásič pater - Ano</w:t>
            </w:r>
          </w:p>
          <w:p>
            <w:pPr>
              <w:pStyle w:val="Normal"/>
              <w:widowControl w:val="false"/>
              <w:tabs>
                <w:tab w:val="clear" w:pos="720"/>
                <w:tab w:val="center" w:pos="2974" w:leader="none"/>
              </w:tabs>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Gong - Ano</w:t>
              <w:tab/>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Sklopné invalidní sedátko:</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sdt>
              <w:sdtPr>
                <w:dropDownList>
                  <w:listItem w:displayText="Choose an item." w:value="Choose an item."/>
                  <w:listItem w:displayText="Ano / Nerez AISI 304 brus" w:value="Ano / Nerez AISI 304 brus"/>
                  <w:listItem w:displayText="Za příplatek" w:value="Za příplatek"/>
                  <w:listItem w:displayText="Ne" w:value="Ne"/>
                  <w:listItem w:displayText="Neuvedeno " w:value="Neuvedeno "/>
                </w:dropDownList>
              </w:sdtPr>
              <w:sdtContent>
                <w:r>
                  <w:rPr/>
                </w:r>
                <w:r>
                  <w:rPr/>
                  <w:t>Ano / Nerez AISI 304 brus</w:t>
                </w:r>
              </w:sdtContent>
            </w:sdt>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Invalidní provedení výtahu:</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sdt>
              <w:sdtPr>
                <w:dropDownList>
                  <w:listItem w:displayText="Choose an item." w:value="Choose an item."/>
                  <w:listItem w:displayText="Ano / ČSN EN 81-70" w:value="Ano / ČSN EN 81-70"/>
                  <w:listItem w:displayText="Ano / Vyhláška 398/2009 Sb." w:value="Ano / Vyhláška 398/2009 Sb."/>
                  <w:listItem w:displayText="Ano / ČSN EN 81-70 / Vyhláška 398/2009 Sb." w:value="Ano / ČSN EN 81-70 / Vyhláška 398/2009 Sb."/>
                  <w:listItem w:displayText="Ne" w:value="Ne"/>
                  <w:listItem w:displayText="Neuvedeno" w:value="Neuvedeno"/>
                </w:dropDownList>
              </w:sdtPr>
              <w:sdtContent>
                <w:r>
                  <w:rPr/>
                </w:r>
                <w:r>
                  <w:rPr/>
                  <w:t>Ano / ČSN EN 81-70</w:t>
                </w:r>
              </w:sdtContent>
            </w:sdt>
          </w:p>
        </w:tc>
      </w:tr>
      <w:tr>
        <w:trPr/>
        <w:tc>
          <w:tcPr>
            <w:tcW w:w="3329"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c>
          <w:tcPr>
            <w:tcW w:w="6168"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p>
            <w:pPr>
              <w:pStyle w:val="Normal"/>
              <w:widowControl w:val="false"/>
              <w:suppressAutoHyphens w:val="true"/>
              <w:spacing w:lineRule="auto" w:line="240" w:before="60" w:after="0"/>
              <w:ind w:firstLine="72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nil"/>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
                <w:color w:val="041E42"/>
                <w:kern w:val="0"/>
                <w:sz w:val="19"/>
                <w:szCs w:val="19"/>
                <w:lang w:bidi="ar-SA"/>
              </w:rPr>
              <w:t>ŠACHETNÍ A KABINOVÉ DVEŘE</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
                <w:color w:val="041E42"/>
                <w:sz w:val="19"/>
                <w:szCs w:val="19"/>
              </w:rPr>
            </w:pPr>
            <w:r>
              <w:rPr>
                <w:rFonts w:cs="Arial" w:ascii="Century Gothic" w:hAnsi="Century Gothic"/>
                <w:color w:val="041E42"/>
                <w:kern w:val="0"/>
                <w:sz w:val="19"/>
                <w:szCs w:val="19"/>
                <w:lang w:bidi="ar-SA"/>
              </w:rPr>
              <w:t>Typ dveří: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bCs/>
                <w:color w:val="041E42"/>
                <w:sz w:val="19"/>
                <w:szCs w:val="19"/>
              </w:rPr>
            </w:pPr>
            <w:r>
              <w:rPr>
                <w:rFonts w:cs="Arial" w:ascii="Century Gothic" w:hAnsi="Century Gothic"/>
                <w:b/>
                <w:bCs/>
                <w:iCs/>
                <w:color w:val="041E42"/>
                <w:kern w:val="0"/>
                <w:sz w:val="19"/>
                <w:szCs w:val="19"/>
                <w:lang w:bidi="ar-SA"/>
              </w:rPr>
              <w:t>Prima P</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Otevírání (š x v):</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Automatické teleskopické 2 panelové</w:t>
            </w:r>
          </w:p>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
                <w:iCs/>
                <w:color w:val="041E42"/>
                <w:kern w:val="0"/>
                <w:sz w:val="19"/>
                <w:szCs w:val="19"/>
                <w:lang w:bidi="ar-SA"/>
              </w:rPr>
              <w:t>900 mm x 2000</w:t>
            </w:r>
            <w:r>
              <w:rPr>
                <w:rFonts w:cs="Arial" w:ascii="Century Gothic" w:hAnsi="Century Gothic"/>
                <w:color w:val="041E42"/>
                <w:kern w:val="0"/>
                <w:sz w:val="19"/>
                <w:szCs w:val="19"/>
                <w:lang w:bidi="ar-SA"/>
              </w:rPr>
              <w:t xml:space="preserve"> </w:t>
            </w:r>
            <w:r>
              <w:rPr>
                <w:rFonts w:cs="Arial" w:ascii="Century Gothic" w:hAnsi="Century Gothic"/>
                <w:b/>
                <w:bCs/>
                <w:color w:val="041E42"/>
                <w:kern w:val="0"/>
                <w:sz w:val="19"/>
                <w:szCs w:val="19"/>
                <w:lang w:bidi="ar-SA"/>
              </w:rPr>
              <w:t>mm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Cs/>
                <w:color w:val="041E42"/>
                <w:kern w:val="0"/>
                <w:sz w:val="19"/>
                <w:szCs w:val="19"/>
                <w:lang w:bidi="ar-SA"/>
              </w:rPr>
              <w:t>Práh dveří: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Cs/>
                <w:color w:val="041E42"/>
                <w:kern w:val="0"/>
                <w:sz w:val="19"/>
                <w:szCs w:val="19"/>
                <w:lang w:bidi="ar-SA"/>
              </w:rPr>
              <w:t>Standardní hliníkový vodící profil</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color w:val="041E42"/>
                <w:kern w:val="0"/>
                <w:sz w:val="19"/>
                <w:szCs w:val="19"/>
                <w:lang w:bidi="ar-SA"/>
              </w:rPr>
              <w:t>Typ zárubní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color w:val="041E42"/>
                <w:sz w:val="19"/>
                <w:szCs w:val="19"/>
                <w:highlight w:val="yellow"/>
              </w:rPr>
            </w:pPr>
            <w:r>
              <w:rPr>
                <w:rFonts w:cs="Arial" w:ascii="Century Gothic" w:hAnsi="Century Gothic"/>
                <w:iCs/>
                <w:color w:val="041E42"/>
                <w:kern w:val="0"/>
                <w:sz w:val="19"/>
                <w:szCs w:val="19"/>
                <w:lang w:bidi="ar-SA"/>
              </w:rPr>
              <w:t>MRF100 / Zárubeň a nadpraží (100 mm po obvodu dveří)</w:t>
            </w:r>
            <w:r>
              <w:rPr>
                <w:rFonts w:cs="Arial" w:ascii="Century Gothic" w:hAnsi="Century Gothic"/>
                <w:color w:val="041E42"/>
                <w:kern w:val="0"/>
                <w:sz w:val="19"/>
                <w:szCs w:val="19"/>
                <w:lang w:bidi="ar-SA"/>
              </w:rPr>
              <w:t xml:space="preserve"> / </w:t>
            </w:r>
            <w:r>
              <w:rPr>
                <w:rFonts w:cs="Arial" w:ascii="Century Gothic" w:hAnsi="Century Gothic"/>
                <w:iCs/>
                <w:color w:val="041E42"/>
                <w:kern w:val="0"/>
                <w:sz w:val="19"/>
                <w:szCs w:val="19"/>
                <w:lang w:bidi="ar-SA"/>
              </w:rPr>
              <w:t>Nerez brus 220</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Šachetní dveře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Nerez brus</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Šachetní dveře / kotvení: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Standardní / Čistá výška podlahy do 130 mm</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Kabinové dveře / provedení: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Nerez brus 220</w:t>
            </w:r>
            <w:r>
              <w:rPr>
                <w:rFonts w:cs="Arial" w:ascii="Century Gothic" w:hAnsi="Century Gothic"/>
                <w:color w:val="041E42"/>
                <w:kern w:val="0"/>
                <w:sz w:val="19"/>
                <w:szCs w:val="19"/>
                <w:lang w:bidi="ar-SA"/>
              </w:rPr>
              <w:t xml:space="preserve"> </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Požární odolnost:</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
                <w:bCs/>
                <w:color w:val="041E42"/>
                <w:sz w:val="19"/>
                <w:szCs w:val="19"/>
              </w:rPr>
            </w:pPr>
            <w:r>
              <w:rPr>
                <w:rFonts w:cs="Arial" w:ascii="Century Gothic" w:hAnsi="Century Gothic"/>
                <w:b/>
                <w:bCs/>
                <w:iCs/>
                <w:color w:val="041E42"/>
                <w:kern w:val="0"/>
                <w:sz w:val="19"/>
                <w:szCs w:val="19"/>
                <w:lang w:bidi="ar-SA"/>
              </w:rPr>
              <w:t>EW30</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Ochrana kabinových dveří: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iCs/>
                <w:color w:val="041E42"/>
                <w:kern w:val="0"/>
                <w:sz w:val="19"/>
                <w:szCs w:val="19"/>
                <w:lang w:bidi="ar-SA"/>
              </w:rPr>
              <w:t>Ano – Celoplošná světelná clona</w:t>
            </w:r>
          </w:p>
        </w:tc>
      </w:tr>
      <w:tr>
        <w:trPr/>
        <w:tc>
          <w:tcPr>
            <w:tcW w:w="3329" w:type="dxa"/>
            <w:tcBorders>
              <w:top w:val="single" w:sz="2" w:space="0" w:color="1F4E79"/>
              <w:left w:val="nil"/>
              <w:bottom w:val="single" w:sz="1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c>
          <w:tcPr>
            <w:tcW w:w="6168"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1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
                <w:color w:val="041E42"/>
                <w:kern w:val="0"/>
                <w:sz w:val="19"/>
                <w:szCs w:val="19"/>
                <w:lang w:bidi="ar-SA"/>
              </w:rPr>
              <w:t>ELEKTROPARAMETRY POHONU VÝTAHU</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bidi="ar-SA"/>
              </w:rPr>
              <w:t>Výkon:</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Cs/>
                <w:iCs/>
                <w:color w:val="041E42"/>
                <w:kern w:val="0"/>
                <w:sz w:val="19"/>
                <w:szCs w:val="19"/>
                <w:lang w:bidi="ar-SA"/>
              </w:rPr>
              <w:t>7.8 kW</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bidi="ar-SA"/>
              </w:rPr>
              <w:t>Jmenovitý proud:</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iCs/>
                <w:color w:val="041E42"/>
                <w:sz w:val="19"/>
                <w:szCs w:val="19"/>
              </w:rPr>
            </w:pPr>
            <w:r>
              <w:rPr>
                <w:rFonts w:cs="Arial" w:ascii="Century Gothic" w:hAnsi="Century Gothic"/>
                <w:bCs/>
                <w:iCs/>
                <w:color w:val="041E42"/>
                <w:kern w:val="0"/>
                <w:sz w:val="19"/>
                <w:szCs w:val="19"/>
                <w:lang w:bidi="ar-SA"/>
              </w:rPr>
              <w:t>11.2 A</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bidi="ar-SA"/>
              </w:rPr>
              <w:t>Záběrový proud:</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iCs/>
                <w:color w:val="041E42"/>
                <w:sz w:val="19"/>
                <w:szCs w:val="19"/>
              </w:rPr>
            </w:pPr>
            <w:r>
              <w:rPr>
                <w:rFonts w:cs="Arial" w:ascii="Century Gothic" w:hAnsi="Century Gothic"/>
                <w:bCs/>
                <w:iCs/>
                <w:color w:val="041E42"/>
                <w:kern w:val="0"/>
                <w:sz w:val="19"/>
                <w:szCs w:val="19"/>
                <w:lang w:bidi="ar-SA"/>
              </w:rPr>
              <w:t>15.3 A</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bidi="ar-SA"/>
              </w:rPr>
              <w:t>Jištění:</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iCs/>
                <w:color w:val="041E42"/>
                <w:sz w:val="19"/>
                <w:szCs w:val="19"/>
              </w:rPr>
            </w:pPr>
            <w:r>
              <w:rPr>
                <w:rFonts w:cs="Arial" w:ascii="Century Gothic" w:hAnsi="Century Gothic"/>
                <w:bCs/>
                <w:iCs/>
                <w:color w:val="041E42"/>
                <w:kern w:val="0"/>
                <w:sz w:val="19"/>
                <w:szCs w:val="19"/>
                <w:lang w:bidi="ar-SA"/>
              </w:rPr>
              <w:t>20 A</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bidi="ar-SA"/>
              </w:rPr>
              <w:t>Přívod el proudu:</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iCs/>
                <w:color w:val="041E42"/>
                <w:sz w:val="19"/>
                <w:szCs w:val="19"/>
              </w:rPr>
            </w:pPr>
            <w:r>
              <w:rPr>
                <w:rFonts w:cs="Arial" w:ascii="Century Gothic" w:hAnsi="Century Gothic"/>
                <w:bCs/>
                <w:iCs/>
                <w:color w:val="041E42"/>
                <w:kern w:val="0"/>
                <w:sz w:val="19"/>
                <w:szCs w:val="19"/>
                <w:lang w:bidi="ar-SA"/>
              </w:rPr>
              <w:t>400 V</w:t>
            </w:r>
            <w:r>
              <w:rPr>
                <w:rFonts w:cs="Arial" w:ascii="Century Gothic" w:hAnsi="Century Gothic"/>
                <w:color w:val="041E42"/>
                <w:kern w:val="0"/>
                <w:sz w:val="19"/>
                <w:szCs w:val="19"/>
                <w:lang w:bidi="ar-SA"/>
              </w:rPr>
              <w:t xml:space="preserve">/230 V, </w:t>
            </w:r>
            <w:r>
              <w:rPr>
                <w:rFonts w:cs="Arial" w:ascii="Century Gothic" w:hAnsi="Century Gothic"/>
                <w:bCs/>
                <w:iCs/>
                <w:color w:val="041E42"/>
                <w:kern w:val="0"/>
                <w:sz w:val="19"/>
                <w:szCs w:val="19"/>
                <w:lang w:bidi="ar-SA"/>
              </w:rPr>
              <w:t>50</w:t>
            </w:r>
            <w:r>
              <w:rPr>
                <w:rFonts w:cs="Arial" w:ascii="Century Gothic" w:hAnsi="Century Gothic"/>
                <w:color w:val="041E42"/>
                <w:kern w:val="0"/>
                <w:sz w:val="19"/>
                <w:szCs w:val="19"/>
                <w:lang w:bidi="ar-SA"/>
              </w:rPr>
              <w:t xml:space="preserve"> Hz</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color w:val="041E42"/>
                <w:kern w:val="0"/>
                <w:sz w:val="19"/>
                <w:szCs w:val="19"/>
                <w:lang w:bidi="ar-SA"/>
              </w:rPr>
              <w:t>Prostředí pro výtah:</w:t>
            </w:r>
          </w:p>
        </w:tc>
        <w:tc>
          <w:tcPr>
            <w:tcW w:w="6168" w:type="dxa"/>
            <w:tcBorders>
              <w:top w:val="single" w:sz="2" w:space="0" w:color="1F4E79"/>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bCs/>
                <w:iCs/>
                <w:color w:val="041E42"/>
                <w:sz w:val="19"/>
                <w:szCs w:val="19"/>
              </w:rPr>
            </w:pPr>
            <w:r>
              <w:rPr>
                <w:rFonts w:cs="Arial" w:ascii="Century Gothic" w:hAnsi="Century Gothic"/>
                <w:color w:val="041E42"/>
                <w:kern w:val="0"/>
                <w:sz w:val="19"/>
                <w:szCs w:val="19"/>
                <w:lang w:bidi="ar-SA"/>
              </w:rPr>
              <w:t>Základní prostředí šachty a nástupišť / suché a bezprašné, teplota +5°C až +40°C</w:t>
            </w:r>
          </w:p>
        </w:tc>
      </w:tr>
      <w:tr>
        <w:trPr/>
        <w:tc>
          <w:tcPr>
            <w:tcW w:w="3329" w:type="dxa"/>
            <w:tcBorders>
              <w:top w:val="single" w:sz="1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
                <w:bCs/>
                <w:color w:val="041E42"/>
                <w:kern w:val="0"/>
                <w:sz w:val="19"/>
                <w:szCs w:val="19"/>
                <w:lang w:bidi="ar-SA"/>
              </w:rPr>
              <w:t>SIGNALIZACE A PŘIVOLÁVAČE VÝTAHU</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Cs/>
                <w:color w:val="041E42"/>
                <w:kern w:val="0"/>
                <w:sz w:val="19"/>
                <w:szCs w:val="19"/>
                <w:lang w:eastAsia="en-US" w:bidi="ar-SA"/>
              </w:rPr>
              <w:t xml:space="preserve">Hlášení stanic v kabině výtahu: </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bCs/>
                <w:color w:val="041E42"/>
                <w:kern w:val="0"/>
                <w:sz w:val="19"/>
                <w:szCs w:val="19"/>
                <w:lang w:eastAsia="en-US" w:bidi="ar-SA"/>
              </w:rPr>
              <w:t>Bude upřesněné objednavatelem dodatečně</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kern w:val="0"/>
                <w:sz w:val="19"/>
                <w:szCs w:val="19"/>
                <w:lang w:eastAsia="en-US" w:bidi="ar-SA"/>
              </w:rPr>
              <w:t>Značení stanic v kabině výtahu:</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olor w:val="041E42"/>
                <w:sz w:val="19"/>
                <w:szCs w:val="19"/>
              </w:rPr>
            </w:pPr>
            <w:r>
              <w:rPr>
                <w:rFonts w:ascii="Century Gothic" w:hAnsi="Century Gothic"/>
                <w:color w:val="041E42"/>
                <w:kern w:val="0"/>
                <w:sz w:val="19"/>
                <w:szCs w:val="19"/>
                <w:lang w:bidi="ar-SA"/>
              </w:rPr>
              <w:t>Přední vstup: -2, 2</w:t>
            </w:r>
          </w:p>
          <w:p>
            <w:pPr>
              <w:pStyle w:val="Normal"/>
              <w:widowControl w:val="false"/>
              <w:suppressAutoHyphens w:val="true"/>
              <w:spacing w:lineRule="auto" w:line="240" w:before="60" w:after="0"/>
              <w:jc w:val="left"/>
              <w:rPr>
                <w:rFonts w:ascii="Century Gothic" w:hAnsi="Century Gothic"/>
                <w:color w:val="041E42"/>
                <w:sz w:val="19"/>
                <w:szCs w:val="19"/>
              </w:rPr>
            </w:pPr>
            <w:r>
              <w:rPr>
                <w:rFonts w:ascii="Century Gothic" w:hAnsi="Century Gothic"/>
                <w:color w:val="041E42"/>
                <w:kern w:val="0"/>
                <w:sz w:val="19"/>
                <w:szCs w:val="19"/>
                <w:lang w:bidi="ar-SA"/>
              </w:rPr>
              <w:t>Zadní vstup: -1</w:t>
            </w:r>
          </w:p>
          <w:p>
            <w:pPr>
              <w:pStyle w:val="Normal"/>
              <w:widowControl w:val="false"/>
              <w:suppressAutoHyphens w:val="true"/>
              <w:spacing w:lineRule="auto" w:line="240" w:before="60" w:after="0"/>
              <w:jc w:val="left"/>
              <w:rPr>
                <w:rFonts w:ascii="Century Gothic" w:hAnsi="Century Gothic"/>
                <w:color w:val="041E42"/>
                <w:sz w:val="19"/>
                <w:szCs w:val="19"/>
              </w:rPr>
            </w:pPr>
            <w:r>
              <w:rPr>
                <w:rFonts w:ascii="Century Gothic" w:hAnsi="Century Gothic"/>
                <w:color w:val="041E42"/>
                <w:kern w:val="0"/>
                <w:sz w:val="19"/>
                <w:szCs w:val="19"/>
                <w:lang w:bidi="ar-SA"/>
              </w:rPr>
              <w:t>Boční vstup: 1</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color w:val="041E42"/>
                <w:kern w:val="0"/>
                <w:sz w:val="19"/>
                <w:szCs w:val="19"/>
                <w:lang w:eastAsia="en-US" w:bidi="ar-SA"/>
              </w:rPr>
              <w:t>Ukazatel polohy kabiny:</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HPISQR v hlavní stanici</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color w:val="041E42"/>
                <w:kern w:val="0"/>
                <w:sz w:val="19"/>
                <w:szCs w:val="19"/>
                <w:lang w:eastAsia="en-US" w:bidi="ar-SA"/>
              </w:rPr>
              <w:t>Ukazatel směru jízdy:</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Ano</w:t>
            </w:r>
          </w:p>
        </w:tc>
      </w:tr>
      <w:tr>
        <w:trPr/>
        <w:tc>
          <w:tcPr>
            <w:tcW w:w="3329" w:type="dxa"/>
            <w:tcBorders>
              <w:top w:val="single" w:sz="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color w:val="041E42"/>
                <w:kern w:val="0"/>
                <w:sz w:val="19"/>
                <w:szCs w:val="19"/>
                <w:lang w:bidi="ar-SA"/>
              </w:rPr>
              <w:t>Provedení stanicových ukazatelů / ovladačů:</w:t>
            </w:r>
          </w:p>
        </w:tc>
        <w:tc>
          <w:tcPr>
            <w:tcW w:w="6168" w:type="dxa"/>
            <w:tcBorders>
              <w:top w:val="single" w:sz="2" w:space="0" w:color="1F4E79"/>
              <w:left w:val="dotted" w:sz="4" w:space="0" w:color="1F4E79"/>
              <w:bottom w:val="single" w:sz="2" w:space="0" w:color="1F4E79"/>
              <w:right w:val="nil"/>
            </w:tcBorders>
            <w:shd w:color="auto" w:fill="auto" w:val="clear"/>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kern w:val="0"/>
                <w:sz w:val="19"/>
                <w:szCs w:val="19"/>
                <w:lang w:bidi="ar-SA"/>
              </w:rPr>
              <w:t>Broušený černý chrom</w:t>
            </w:r>
          </w:p>
        </w:tc>
      </w:tr>
      <w:tr>
        <w:trPr/>
        <w:tc>
          <w:tcPr>
            <w:tcW w:w="3329" w:type="dxa"/>
            <w:tcBorders>
              <w:top w:val="single" w:sz="2" w:space="0" w:color="1F4E79"/>
              <w:left w:val="nil"/>
              <w:bottom w:val="single" w:sz="12" w:space="0" w:color="1F4E79"/>
              <w:right w:val="nil"/>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sz w:val="19"/>
                <w:szCs w:val="19"/>
              </w:rPr>
            </w:r>
          </w:p>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Cs/>
                <w:color w:val="041E42"/>
                <w:sz w:val="19"/>
                <w:szCs w:val="19"/>
              </w:rPr>
            </w:r>
          </w:p>
        </w:tc>
        <w:tc>
          <w:tcPr>
            <w:tcW w:w="6168" w:type="dxa"/>
            <w:tcBorders>
              <w:top w:val="single" w:sz="2" w:space="0" w:color="1F4E79"/>
              <w:left w:val="nil"/>
              <w:bottom w:val="nil"/>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12" w:space="0" w:color="1F4E79"/>
              <w:left w:val="nil"/>
              <w:bottom w:val="single" w:sz="2" w:space="0" w:color="1F4E79"/>
              <w:right w:val="dotted" w:sz="4" w:space="0" w:color="1F4E79"/>
            </w:tcBorders>
          </w:tcPr>
          <w:p>
            <w:pPr>
              <w:pStyle w:val="Normal"/>
              <w:widowControl w:val="false"/>
              <w:suppressAutoHyphens w:val="true"/>
              <w:spacing w:lineRule="auto" w:line="240" w:before="60" w:after="0"/>
              <w:jc w:val="left"/>
              <w:rPr>
                <w:rFonts w:ascii="Century Gothic" w:hAnsi="Century Gothic" w:cs="Arial"/>
                <w:bCs/>
                <w:color w:val="041E42"/>
                <w:sz w:val="19"/>
                <w:szCs w:val="19"/>
              </w:rPr>
            </w:pPr>
            <w:r>
              <w:rPr>
                <w:rFonts w:cs="Arial" w:ascii="Century Gothic" w:hAnsi="Century Gothic"/>
                <w:b/>
                <w:color w:val="041E42"/>
                <w:kern w:val="0"/>
                <w:sz w:val="19"/>
                <w:szCs w:val="19"/>
                <w:lang w:bidi="ar-SA"/>
              </w:rPr>
              <w:t>SIGNÁLNÍ A ŘÍDÍCÍ MODULY</w:t>
            </w:r>
          </w:p>
        </w:tc>
        <w:tc>
          <w:tcPr>
            <w:tcW w:w="6168" w:type="dxa"/>
            <w:tcBorders>
              <w:top w:val="nil"/>
              <w:left w:val="dotted" w:sz="4" w:space="0" w:color="1F4E79"/>
              <w:bottom w:val="single" w:sz="2" w:space="0" w:color="1F4E79"/>
              <w:right w:val="nil"/>
            </w:tcBorders>
          </w:tcPr>
          <w:p>
            <w:pPr>
              <w:pStyle w:val="Normal"/>
              <w:widowControl w:val="false"/>
              <w:suppressAutoHyphens w:val="true"/>
              <w:spacing w:lineRule="auto" w:line="240" w:before="60" w:after="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9497" w:type="dxa"/>
            <w:gridSpan w:val="2"/>
            <w:tcBorders>
              <w:top w:val="single" w:sz="2" w:space="0" w:color="1F4E79"/>
              <w:left w:val="nil"/>
              <w:bottom w:val="single" w:sz="2" w:space="0" w:color="1F4E79"/>
              <w:right w:val="nil"/>
            </w:tcBorders>
          </w:tcPr>
          <w:p>
            <w:pPr>
              <w:pStyle w:val="Normal"/>
              <w:widowControl w:val="false"/>
              <w:tabs>
                <w:tab w:val="clear" w:pos="720"/>
                <w:tab w:val="left" w:pos="993" w:leader="none"/>
                <w:tab w:val="left" w:pos="1800" w:leader="none"/>
              </w:tabs>
              <w:suppressAutoHyphens w:val="true"/>
              <w:spacing w:lineRule="auto" w:line="240" w:before="40" w:after="0"/>
              <w:ind w:left="-11" w:hanging="0"/>
              <w:jc w:val="left"/>
              <w:rPr>
                <w:rFonts w:ascii="Century Gothic" w:hAnsi="Century Gothic" w:cs="Arial"/>
                <w:color w:val="041E42"/>
                <w:sz w:val="19"/>
                <w:szCs w:val="19"/>
              </w:rPr>
            </w:pPr>
            <w:r>
              <w:rPr>
                <w:rFonts w:cs="Arial" w:ascii="Century Gothic" w:hAnsi="Century Gothic"/>
                <w:color w:val="041E42"/>
                <w:kern w:val="0"/>
                <w:sz w:val="19"/>
                <w:szCs w:val="19"/>
                <w:lang w:bidi="ar-SA"/>
              </w:rPr>
              <w:t>Seznam signálních a řídících modulů, které jsou v ceně nabídky:</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bCs/>
                <w:color w:val="041E42"/>
                <w:sz w:val="19"/>
                <w:szCs w:val="19"/>
              </w:rPr>
            </w:pPr>
            <w:r>
              <w:rPr>
                <w:rFonts w:cs="Arial" w:ascii="Century Gothic" w:hAnsi="Century Gothic"/>
                <w:iCs/>
                <w:color w:val="041E42"/>
                <w:kern w:val="0"/>
                <w:sz w:val="19"/>
                <w:szCs w:val="19"/>
                <w:lang w:bidi="ar-SA"/>
              </w:rPr>
              <w:t>A</w:t>
            </w:r>
            <w:r>
              <w:rPr>
                <w:rFonts w:cs="Arial" w:ascii="Century Gothic" w:hAnsi="Century Gothic"/>
                <w:bCs/>
                <w:color w:val="041E42"/>
                <w:kern w:val="0"/>
                <w:sz w:val="19"/>
                <w:szCs w:val="19"/>
                <w:lang w:bidi="ar-SA"/>
              </w:rPr>
              <w:t xml:space="preserve">utomatické zhasínání osvětlení kabiny </w:t>
            </w:r>
            <w:r>
              <w:rPr>
                <w:rFonts w:cs="Arial" w:ascii="Century Gothic" w:hAnsi="Century Gothic"/>
                <w:b/>
                <w:color w:val="041E42"/>
                <w:kern w:val="0"/>
                <w:sz w:val="19"/>
                <w:szCs w:val="19"/>
                <w:lang w:bidi="ar-SA"/>
              </w:rPr>
              <w:t>CFL1</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bCs/>
                <w:color w:val="041E42"/>
                <w:sz w:val="19"/>
                <w:szCs w:val="19"/>
              </w:rPr>
            </w:pPr>
            <w:r>
              <w:rPr>
                <w:rFonts w:cs="Arial" w:ascii="Century Gothic" w:hAnsi="Century Gothic"/>
                <w:iCs/>
                <w:color w:val="041E42"/>
                <w:kern w:val="0"/>
                <w:sz w:val="19"/>
                <w:szCs w:val="19"/>
                <w:lang w:bidi="ar-SA"/>
              </w:rPr>
              <w:t>M</w:t>
            </w:r>
            <w:r>
              <w:rPr>
                <w:rFonts w:cs="Arial" w:ascii="Century Gothic" w:hAnsi="Century Gothic"/>
                <w:bCs/>
                <w:color w:val="041E42"/>
                <w:kern w:val="0"/>
                <w:sz w:val="19"/>
                <w:szCs w:val="19"/>
                <w:lang w:bidi="ar-SA"/>
              </w:rPr>
              <w:t>ultimediální dorozumívací zařízení eView2 IoT Ready</w:t>
            </w:r>
            <w:r>
              <w:rPr>
                <w:rFonts w:cs="Arial" w:ascii="Century Gothic" w:hAnsi="Century Gothic"/>
                <w:b/>
                <w:color w:val="041E42"/>
                <w:kern w:val="0"/>
                <w:sz w:val="19"/>
                <w:szCs w:val="19"/>
                <w:lang w:bidi="ar-SA"/>
              </w:rPr>
              <w:t xml:space="preserve"> EVIEW2</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color w:val="041E42"/>
                <w:sz w:val="19"/>
                <w:szCs w:val="19"/>
              </w:rPr>
            </w:pPr>
            <w:r>
              <w:rPr>
                <w:rFonts w:cs="Arial" w:ascii="Century Gothic" w:hAnsi="Century Gothic"/>
                <w:iCs/>
                <w:color w:val="041E42"/>
                <w:kern w:val="0"/>
                <w:sz w:val="19"/>
                <w:szCs w:val="19"/>
                <w:lang w:bidi="ar-SA"/>
              </w:rPr>
              <w:t>P</w:t>
            </w:r>
            <w:r>
              <w:rPr>
                <w:rFonts w:cs="Arial" w:ascii="Century Gothic" w:hAnsi="Century Gothic"/>
                <w:bCs/>
                <w:color w:val="041E42"/>
                <w:kern w:val="0"/>
                <w:sz w:val="19"/>
                <w:szCs w:val="19"/>
                <w:lang w:bidi="ar-SA"/>
              </w:rPr>
              <w:t>otvrzení voleb (prosvětlení tlačítek)</w:t>
            </w:r>
            <w:r>
              <w:rPr>
                <w:rFonts w:cs="Arial" w:ascii="Century Gothic" w:hAnsi="Century Gothic"/>
                <w:b/>
                <w:color w:val="041E42"/>
                <w:kern w:val="0"/>
                <w:sz w:val="19"/>
                <w:szCs w:val="19"/>
                <w:lang w:bidi="ar-SA"/>
              </w:rPr>
              <w:t xml:space="preserve"> CTTL</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color w:val="041E42"/>
                <w:sz w:val="19"/>
                <w:szCs w:val="19"/>
              </w:rPr>
            </w:pPr>
            <w:r>
              <w:rPr>
                <w:rFonts w:cs="Arial" w:ascii="Century Gothic" w:hAnsi="Century Gothic"/>
                <w:iCs/>
                <w:color w:val="041E42"/>
                <w:kern w:val="0"/>
                <w:sz w:val="19"/>
                <w:szCs w:val="19"/>
                <w:lang w:bidi="ar-SA"/>
              </w:rPr>
              <w:t>T</w:t>
            </w:r>
            <w:r>
              <w:rPr>
                <w:rFonts w:cs="Arial" w:ascii="Century Gothic" w:hAnsi="Century Gothic"/>
                <w:bCs/>
                <w:color w:val="041E42"/>
                <w:kern w:val="0"/>
                <w:sz w:val="19"/>
                <w:szCs w:val="19"/>
                <w:lang w:bidi="ar-SA"/>
              </w:rPr>
              <w:t xml:space="preserve">lačítko pro urychlení zavření dveří v kabině </w:t>
            </w:r>
            <w:r>
              <w:rPr>
                <w:rFonts w:cs="Arial" w:ascii="Century Gothic" w:hAnsi="Century Gothic"/>
                <w:b/>
                <w:color w:val="041E42"/>
                <w:kern w:val="0"/>
                <w:sz w:val="19"/>
                <w:szCs w:val="19"/>
                <w:lang w:bidi="ar-SA"/>
              </w:rPr>
              <w:t>DCB</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b/>
                <w:color w:val="041E42"/>
                <w:sz w:val="19"/>
                <w:szCs w:val="19"/>
              </w:rPr>
            </w:pPr>
            <w:r>
              <w:rPr>
                <w:rFonts w:cs="Arial" w:ascii="Century Gothic" w:hAnsi="Century Gothic"/>
                <w:iCs/>
                <w:color w:val="041E42"/>
                <w:kern w:val="0"/>
                <w:sz w:val="19"/>
                <w:szCs w:val="19"/>
                <w:lang w:bidi="ar-SA"/>
              </w:rPr>
              <w:t>M</w:t>
            </w:r>
            <w:r>
              <w:rPr>
                <w:rFonts w:cs="Arial" w:ascii="Century Gothic" w:hAnsi="Century Gothic"/>
                <w:bCs/>
                <w:color w:val="041E42"/>
                <w:kern w:val="0"/>
                <w:sz w:val="19"/>
                <w:szCs w:val="19"/>
                <w:lang w:bidi="ar-SA"/>
              </w:rPr>
              <w:t>echanická tlačítka na ovládacím panelu v kabině s mikrozdvihem</w:t>
            </w:r>
            <w:r>
              <w:rPr>
                <w:rFonts w:cs="Arial" w:ascii="Century Gothic" w:hAnsi="Century Gothic"/>
                <w:b/>
                <w:color w:val="041E42"/>
                <w:kern w:val="0"/>
                <w:sz w:val="19"/>
                <w:szCs w:val="19"/>
                <w:lang w:bidi="ar-SA"/>
              </w:rPr>
              <w:t xml:space="preserve"> CBM</w:t>
            </w:r>
          </w:p>
          <w:p>
            <w:pPr>
              <w:pStyle w:val="ListParagraph"/>
              <w:widowControl w:val="false"/>
              <w:numPr>
                <w:ilvl w:val="0"/>
                <w:numId w:val="7"/>
              </w:numPr>
              <w:suppressAutoHyphens w:val="true"/>
              <w:spacing w:lineRule="auto" w:line="240" w:before="40" w:after="0"/>
              <w:contextualSpacing/>
              <w:jc w:val="left"/>
              <w:rPr>
                <w:rFonts w:ascii="Century Gothic" w:hAnsi="Century Gothic" w:cs="Arial"/>
                <w:b/>
                <w:color w:val="041E42"/>
                <w:sz w:val="19"/>
                <w:szCs w:val="19"/>
              </w:rPr>
            </w:pPr>
            <w:r>
              <w:rPr>
                <w:rFonts w:cs="Arial" w:ascii="Century Gothic" w:hAnsi="Century Gothic"/>
                <w:b/>
                <w:bCs/>
                <w:iCs/>
                <w:color w:val="041E42"/>
                <w:kern w:val="0"/>
                <w:sz w:val="19"/>
                <w:szCs w:val="19"/>
                <w:lang w:bidi="ar-SA"/>
              </w:rPr>
              <w:t>EAR3</w:t>
            </w:r>
            <w:r>
              <w:rPr>
                <w:rFonts w:cs="Arial" w:ascii="Century Gothic" w:hAnsi="Century Gothic"/>
                <w:iCs/>
                <w:color w:val="041E42"/>
                <w:kern w:val="0"/>
                <w:sz w:val="19"/>
                <w:szCs w:val="19"/>
                <w:lang w:bidi="ar-SA"/>
              </w:rPr>
              <w:t xml:space="preserve"> nouzový bateriový dojezd do nejbližší stanice v případě výpadku proudu</w:t>
            </w:r>
          </w:p>
        </w:tc>
      </w:tr>
      <w:tr>
        <w:trPr/>
        <w:tc>
          <w:tcPr>
            <w:tcW w:w="3329" w:type="dxa"/>
            <w:tcBorders>
              <w:top w:val="single" w:sz="2" w:space="0" w:color="1F4E79"/>
              <w:left w:val="nil"/>
              <w:bottom w:val="single" w:sz="2" w:space="0" w:color="1F4E79"/>
              <w:right w:val="nil"/>
            </w:tcBorders>
          </w:tcPr>
          <w:p>
            <w:pPr>
              <w:pStyle w:val="Normal"/>
              <w:widowControl w:val="false"/>
              <w:tabs>
                <w:tab w:val="clear" w:pos="720"/>
                <w:tab w:val="left" w:pos="993" w:leader="none"/>
                <w:tab w:val="left" w:pos="1800" w:leader="none"/>
              </w:tabs>
              <w:suppressAutoHyphens w:val="true"/>
              <w:spacing w:lineRule="auto" w:line="240" w:before="60" w:after="0"/>
              <w:ind w:left="-11" w:hanging="0"/>
              <w:jc w:val="left"/>
              <w:rPr>
                <w:rFonts w:ascii="Century Gothic" w:hAnsi="Century Gothic" w:cs="Arial"/>
                <w:color w:val="041E42"/>
                <w:sz w:val="19"/>
                <w:szCs w:val="19"/>
              </w:rPr>
            </w:pPr>
            <w:r>
              <w:rPr>
                <w:rFonts w:cs="Arial" w:ascii="Century Gothic" w:hAnsi="Century Gothic"/>
                <w:color w:val="041E42"/>
                <w:sz w:val="19"/>
                <w:szCs w:val="19"/>
              </w:rPr>
            </w:r>
          </w:p>
        </w:tc>
        <w:tc>
          <w:tcPr>
            <w:tcW w:w="6168" w:type="dxa"/>
            <w:tcBorders>
              <w:top w:val="single" w:sz="2" w:space="0" w:color="1F4E79"/>
              <w:left w:val="nil"/>
              <w:bottom w:val="nil"/>
              <w:right w:val="nil"/>
            </w:tcBorders>
          </w:tcPr>
          <w:p>
            <w:pPr>
              <w:pStyle w:val="Normal"/>
              <w:widowControl w:val="false"/>
              <w:tabs>
                <w:tab w:val="clear" w:pos="720"/>
                <w:tab w:val="left" w:pos="993" w:leader="none"/>
                <w:tab w:val="left" w:pos="1800" w:leader="none"/>
              </w:tabs>
              <w:suppressAutoHyphens w:val="true"/>
              <w:spacing w:lineRule="auto" w:line="240" w:before="60" w:after="0"/>
              <w:ind w:left="-11" w:hanging="0"/>
              <w:jc w:val="left"/>
              <w:rPr>
                <w:rFonts w:ascii="Century Gothic" w:hAnsi="Century Gothic" w:cs="Arial"/>
                <w:color w:val="041E42"/>
                <w:sz w:val="19"/>
                <w:szCs w:val="19"/>
              </w:rPr>
            </w:pPr>
            <w:r>
              <w:rPr>
                <w:rFonts w:cs="Arial" w:ascii="Century Gothic" w:hAnsi="Century Gothic"/>
                <w:color w:val="041E42"/>
                <w:sz w:val="19"/>
                <w:szCs w:val="19"/>
              </w:rPr>
            </w:r>
          </w:p>
        </w:tc>
      </w:tr>
      <w:tr>
        <w:trPr/>
        <w:tc>
          <w:tcPr>
            <w:tcW w:w="3329" w:type="dxa"/>
            <w:tcBorders>
              <w:top w:val="single" w:sz="12" w:space="0" w:color="222A35"/>
              <w:left w:val="nil"/>
              <w:bottom w:val="single" w:sz="2" w:space="0" w:color="222A35"/>
              <w:right w:val="dotted" w:sz="4" w:space="0" w:color="1F4E79"/>
            </w:tcBorders>
          </w:tcPr>
          <w:p>
            <w:pPr>
              <w:pStyle w:val="Normal"/>
              <w:widowControl w:val="false"/>
              <w:tabs>
                <w:tab w:val="clear" w:pos="720"/>
                <w:tab w:val="left" w:pos="993" w:leader="none"/>
                <w:tab w:val="left" w:pos="1800" w:leader="none"/>
              </w:tabs>
              <w:suppressAutoHyphens w:val="true"/>
              <w:spacing w:lineRule="auto" w:line="240" w:before="60" w:after="0"/>
              <w:ind w:left="-11" w:hanging="0"/>
              <w:jc w:val="left"/>
              <w:rPr>
                <w:rFonts w:ascii="Century Gothic" w:hAnsi="Century Gothic" w:cs="Arial"/>
                <w:color w:val="041E42"/>
                <w:sz w:val="19"/>
                <w:szCs w:val="19"/>
              </w:rPr>
            </w:pPr>
            <w:r>
              <w:rPr>
                <w:rFonts w:cs="Arial" w:ascii="Century Gothic" w:hAnsi="Century Gothic"/>
                <w:b/>
                <w:color w:val="041E42"/>
                <w:kern w:val="0"/>
                <w:sz w:val="19"/>
                <w:szCs w:val="19"/>
                <w:lang w:bidi="ar-SA"/>
              </w:rPr>
              <w:t>EVAKUAČNÍ VÝBAVA</w:t>
            </w:r>
          </w:p>
        </w:tc>
        <w:tc>
          <w:tcPr>
            <w:tcW w:w="6168" w:type="dxa"/>
            <w:tcBorders>
              <w:top w:val="nil"/>
              <w:left w:val="dotted" w:sz="4" w:space="0" w:color="1F4E79"/>
              <w:bottom w:val="single" w:sz="2" w:space="0" w:color="222A35"/>
              <w:right w:val="nil"/>
            </w:tcBorders>
          </w:tcPr>
          <w:p>
            <w:pPr>
              <w:pStyle w:val="Normal"/>
              <w:widowControl w:val="false"/>
              <w:tabs>
                <w:tab w:val="clear" w:pos="720"/>
                <w:tab w:val="left" w:pos="993" w:leader="none"/>
                <w:tab w:val="left" w:pos="1800" w:leader="none"/>
              </w:tabs>
              <w:suppressAutoHyphens w:val="true"/>
              <w:spacing w:lineRule="auto" w:line="240" w:before="60" w:after="0"/>
              <w:ind w:left="-11" w:hanging="0"/>
              <w:jc w:val="left"/>
              <w:rPr>
                <w:rFonts w:ascii="Century Gothic" w:hAnsi="Century Gothic" w:cs="Arial"/>
                <w:color w:val="041E42"/>
                <w:sz w:val="19"/>
                <w:szCs w:val="19"/>
              </w:rPr>
            </w:pPr>
            <w:r>
              <w:rPr>
                <w:rFonts w:cs="Arial" w:ascii="Century Gothic" w:hAnsi="Century Gothic"/>
                <w:color w:val="041E42"/>
                <w:kern w:val="0"/>
                <w:sz w:val="19"/>
                <w:szCs w:val="19"/>
                <w:lang w:bidi="ar-SA"/>
              </w:rPr>
              <w:t>Ne</w:t>
            </w:r>
          </w:p>
        </w:tc>
      </w:tr>
    </w:tbl>
    <w:p>
      <w:pPr>
        <w:pStyle w:val="Normal"/>
        <w:spacing w:lineRule="auto" w:line="240" w:before="0" w:after="0"/>
        <w:rPr>
          <w:rFonts w:ascii="Century Gothic" w:hAnsi="Century Gothic" w:cs="Arial"/>
          <w:color w:val="041E42"/>
          <w:sz w:val="20"/>
          <w:szCs w:val="20"/>
        </w:rPr>
      </w:pPr>
      <w:r>
        <w:rPr>
          <w:rFonts w:cs="Arial" w:ascii="Century Gothic" w:hAnsi="Century Gothic"/>
          <w:color w:val="041E42"/>
          <w:sz w:val="20"/>
          <w:szCs w:val="20"/>
        </w:rPr>
      </w:r>
    </w:p>
    <w:p>
      <w:pPr>
        <w:pStyle w:val="KleinerText"/>
        <w:spacing w:lineRule="auto" w:line="240"/>
        <w:ind w:right="-234" w:hanging="0"/>
        <w:rPr>
          <w:rFonts w:cs="Calibri Light"/>
          <w:lang w:val="cs-CZ"/>
        </w:rPr>
      </w:pPr>
      <w:r>
        <w:rPr>
          <w:rFonts w:cs="Calibri Light"/>
          <w:lang w:val="cs-CZ"/>
        </w:rPr>
        <w:t>Společnost Otis a.s. si z důvodu technologického vývoje vyhrazuje právo na změnu zde uvedených specifikací. V případě jakýchkoli dotazů neváhejte kontaktovat místní zastoupení společnosti Otis a.s.</w:t>
      </w:r>
    </w:p>
    <w:p>
      <w:pPr>
        <w:pStyle w:val="Normal"/>
        <w:spacing w:lineRule="auto" w:line="240" w:before="0" w:after="0"/>
        <w:rPr>
          <w:rFonts w:cs="Arial"/>
          <w:color w:val="041E42"/>
          <w:sz w:val="18"/>
          <w:szCs w:val="18"/>
          <w:lang w:val="fr-FR"/>
        </w:rPr>
      </w:pPr>
      <w:r>
        <w:rPr>
          <w:rFonts w:cs="Arial"/>
          <w:color w:val="041E42"/>
          <w:sz w:val="18"/>
          <w:szCs w:val="18"/>
          <w:lang w:val="fr-FR"/>
        </w:rPr>
        <w:t xml:space="preserve"> </w:t>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p>
      <w:pPr>
        <w:pStyle w:val="Normal"/>
        <w:spacing w:lineRule="auto" w:line="240" w:before="0" w:after="0"/>
        <w:rPr>
          <w:rFonts w:cs="Arial"/>
          <w:color w:val="041E42"/>
          <w:sz w:val="18"/>
          <w:szCs w:val="18"/>
          <w:lang w:val="fr-FR"/>
        </w:rPr>
      </w:pPr>
      <w:r>
        <w:rPr>
          <w:rFonts w:cs="Arial"/>
          <w:color w:val="041E42"/>
          <w:sz w:val="18"/>
          <w:szCs w:val="18"/>
          <w:lang w:val="fr-FR"/>
        </w:rPr>
      </w:r>
    </w:p>
    <w:tbl>
      <w:tblPr>
        <w:tblStyle w:val="Mkatabulky"/>
        <w:tblW w:w="1034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27"/>
        <w:gridCol w:w="7515"/>
      </w:tblGrid>
      <w:tr>
        <w:trPr>
          <w:trHeight w:val="454" w:hRule="atLeast"/>
        </w:trPr>
        <w:tc>
          <w:tcPr>
            <w:tcW w:w="10342"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
                <w:bCs/>
                <w:kern w:val="0"/>
                <w:lang w:bidi="ar-SA"/>
              </w:rPr>
              <w:t>Specifikace ocelové konstrukce výtahové šachty:</w:t>
            </w:r>
          </w:p>
        </w:tc>
      </w:tr>
      <w:tr>
        <w:trPr>
          <w:trHeight w:val="454" w:hRule="atLeast"/>
        </w:trPr>
        <w:tc>
          <w:tcPr>
            <w:tcW w:w="2827" w:type="dxa"/>
            <w:tcBorders>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Typ instalace:</w:t>
            </w:r>
          </w:p>
        </w:tc>
        <w:tc>
          <w:tcPr>
            <w:tcW w:w="7515" w:type="dxa"/>
            <w:tcBorders>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EXTERIÉROVÁ</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 xml:space="preserve">Celková výška ocelové konstrukce: </w:t>
            </w:r>
            <w:r>
              <w:rPr>
                <w:rFonts w:ascii="Arial Narrow" w:hAnsi="Arial Narrow"/>
                <w:kern w:val="0"/>
                <w:sz w:val="18"/>
                <w:szCs w:val="18"/>
                <w:lang w:bidi="ar-SA"/>
              </w:rPr>
              <w:t>(mm)</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cs="Arial" w:ascii="Arial Narrow" w:hAnsi="Arial Narrow"/>
                <w:bCs/>
                <w:kern w:val="0"/>
                <w:lang w:bidi="ar-SA"/>
              </w:rPr>
              <w:t>10 550</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 xml:space="preserve">Nosná konstrukce pod OK: </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 – OK osazena na dně ŽB základu</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 xml:space="preserve">Odstupová vzdálenost opláštění OK </w:t>
            </w:r>
            <w:r>
              <w:rPr>
                <w:rFonts w:ascii="Arial Narrow" w:hAnsi="Arial Narrow"/>
                <w:kern w:val="0"/>
                <w:sz w:val="18"/>
                <w:szCs w:val="18"/>
                <w:lang w:bidi="ar-SA"/>
              </w:rPr>
              <w:t>od světlých půdorys. rozměrů šachty:</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 xml:space="preserve">min. 130 mm – </w:t>
            </w:r>
            <w:r>
              <w:rPr>
                <w:rFonts w:ascii="Arial Narrow" w:hAnsi="Arial Narrow"/>
                <w:bCs/>
                <w:color w:val="FF0000"/>
                <w:kern w:val="0"/>
                <w:sz w:val="18"/>
                <w:szCs w:val="18"/>
                <w:lang w:bidi="ar-SA"/>
              </w:rPr>
              <w:t>tento rozměr musí dodavatel výtahu zohlednit v nutnosti instalace zábradlí na kabině výtahu nebo v nutnosti doplnění hákové dveřní uzávěry ke kabinovým dveřím výtahu</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Typy nosných profilů:</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jäklové nebo systémové, umožňující přenos sil pouze od výtahu. Pro zatížení ocelové konstrukce (OK) od jiných stavebních částí (např. od schodišťových ramen, střešní konstrukce objektu, balkónů atp.) není OK staticky navržena.</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Typ montáže:</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svařovaná, montovaná, příp. kombinace svařované a montované OK</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Systém montáže:</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dle technologických postupů Zhotovitele</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Jakost nosných profilů:</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S235JR</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Členění půdorysné:</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pravoúhlé - pravidelný obdélník</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Členění svislé:</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pravoúhlé</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 xml:space="preserve">Svislá vzdálenost vodorovných profilů: </w:t>
            </w:r>
            <w:r>
              <w:rPr>
                <w:rFonts w:ascii="Arial Narrow" w:hAnsi="Arial Narrow"/>
                <w:kern w:val="0"/>
                <w:sz w:val="18"/>
                <w:szCs w:val="18"/>
                <w:lang w:bidi="ar-SA"/>
              </w:rPr>
              <w:t>(mm)</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1250</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Kotvící body:</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 xml:space="preserve">v prohlubni - </w:t>
            </w:r>
            <w:r>
              <w:rPr>
                <w:rFonts w:ascii="Arial Narrow" w:hAnsi="Arial Narrow"/>
                <w:bCs/>
                <w:color w:val="FF0000"/>
                <w:kern w:val="0"/>
                <w:sz w:val="18"/>
                <w:szCs w:val="18"/>
                <w:lang w:bidi="ar-SA"/>
              </w:rPr>
              <w:t xml:space="preserve">krytí hydroizolace </w:t>
            </w:r>
            <w:r>
              <w:rPr>
                <w:rFonts w:ascii="Arial Narrow" w:hAnsi="Arial Narrow"/>
                <w:bCs/>
                <w:kern w:val="0"/>
                <w:sz w:val="18"/>
                <w:szCs w:val="18"/>
                <w:lang w:bidi="ar-SA"/>
              </w:rPr>
              <w:t xml:space="preserve">v ŽB prohlubni výtahové šachty pro kotvení OK </w:t>
            </w:r>
            <w:r>
              <w:rPr>
                <w:rFonts w:ascii="Arial Narrow" w:hAnsi="Arial Narrow"/>
                <w:bCs/>
                <w:color w:val="FF0000"/>
                <w:kern w:val="0"/>
                <w:sz w:val="18"/>
                <w:szCs w:val="18"/>
                <w:lang w:bidi="ar-SA"/>
              </w:rPr>
              <w:t xml:space="preserve">min. 200 mm </w:t>
            </w:r>
            <w:r>
              <w:rPr>
                <w:rFonts w:ascii="Arial Narrow" w:hAnsi="Arial Narrow"/>
                <w:bCs/>
                <w:kern w:val="0"/>
                <w:sz w:val="18"/>
                <w:szCs w:val="18"/>
                <w:lang w:bidi="ar-SA"/>
              </w:rPr>
              <w:t>- zajistí Objednatel, pak průběžně do nosné stěny objektu</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Typ kotvení:</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dilatační, chemické kotvy lepené do přilehlých nosných konstrukcí objektů (např. cihla plná, železobeton, ocel). Konstrukce objektů musí být pro kotvení OK výtahové šachty staticky vyhovující, jinak Zhotovitel navrhne jiný způsob kotvení jako vícepráce s tím, že Objednatel pro toto náhradní opatření poskytne vlastní součinnost (např. stavební práce atp.).</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Kotvení anti-vibrační:</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 - Zhotovitel předpokládá s anti-vibračním kotvením pohonu výtahu</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Montážní nosníky nebo oka:</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ANO</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Příprava pro kotvení tech. výtahu:</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 xml:space="preserve">ANO – ocelové plotny s bodovými závitovými prvky </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Nástupní můstky:</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Podchozí OCK:</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w:t>
            </w:r>
          </w:p>
        </w:tc>
      </w:tr>
      <w:tr>
        <w:trPr>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Požární odolnost nosné konstrukce:</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cs="Arial" w:ascii="Arial Narrow" w:hAnsi="Arial Narrow"/>
                <w:bCs/>
                <w:kern w:val="0"/>
                <w:lang w:bidi="ar-SA"/>
              </w:rPr>
              <w:t>ANO R30 – dosaženo nátěrem</w:t>
            </w:r>
          </w:p>
        </w:tc>
      </w:tr>
      <w:tr>
        <w:trPr>
          <w:trHeight w:val="454" w:hRule="atLeast"/>
        </w:trPr>
        <w:tc>
          <w:tcPr>
            <w:tcW w:w="2827" w:type="dxa"/>
            <w:tcBorders>
              <w:top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Poznámka:</w:t>
            </w:r>
          </w:p>
        </w:tc>
        <w:tc>
          <w:tcPr>
            <w:tcW w:w="7515" w:type="dxa"/>
            <w:tcBorders>
              <w:top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Cena neobsahuje výtahovou lávku v 2.np</w:t>
            </w:r>
          </w:p>
        </w:tc>
      </w:tr>
    </w:tbl>
    <w:p>
      <w:pPr>
        <w:pStyle w:val="Normal"/>
        <w:rPr>
          <w:rFonts w:ascii="Arial Narrow" w:hAnsi="Arial Narrow" w:cs="Arial"/>
          <w:bCs/>
          <w:sz w:val="30"/>
          <w:szCs w:val="30"/>
        </w:rPr>
      </w:pPr>
      <w:r>
        <w:rPr>
          <w:rFonts w:cs="Arial" w:ascii="Arial Narrow" w:hAnsi="Arial Narrow"/>
          <w:bCs/>
          <w:sz w:val="30"/>
          <w:szCs w:val="30"/>
        </w:rPr>
      </w:r>
    </w:p>
    <w:tbl>
      <w:tblPr>
        <w:tblStyle w:val="Mkatabulky"/>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29"/>
        <w:gridCol w:w="7088"/>
      </w:tblGrid>
      <w:tr>
        <w:trPr>
          <w:tblHeader w:val="true"/>
          <w:trHeight w:val="454" w:hRule="atLeast"/>
        </w:trPr>
        <w:tc>
          <w:tcPr>
            <w:tcW w:w="9917"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
                <w:bCs/>
                <w:kern w:val="0"/>
                <w:lang w:bidi="ar-SA"/>
              </w:rPr>
              <w:t>Povrchová úprava ocelové konstrukce:</w:t>
            </w:r>
          </w:p>
        </w:tc>
      </w:tr>
      <w:tr>
        <w:trPr>
          <w:tblHeader w:val="true"/>
          <w:trHeight w:val="454" w:hRule="atLeast"/>
        </w:trPr>
        <w:tc>
          <w:tcPr>
            <w:tcW w:w="2829" w:type="dxa"/>
            <w:tcBorders>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Příprava povrchů profilů:</w:t>
            </w:r>
          </w:p>
        </w:tc>
        <w:tc>
          <w:tcPr>
            <w:tcW w:w="7088" w:type="dxa"/>
            <w:tcBorders>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chemicky čištěno</w:t>
            </w:r>
          </w:p>
        </w:tc>
      </w:tr>
      <w:tr>
        <w:trPr>
          <w:tblHeader w:val="true"/>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Povrchová úprava OK:</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dle ČSN EN ISO 12944-2 pro prostředí se stupněm korozní agresivity C2.</w:t>
            </w:r>
          </w:p>
        </w:tc>
      </w:tr>
      <w:tr>
        <w:trPr>
          <w:tblHeader w:val="true"/>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Odstín vrchního laku:</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dle vzorníku RAL. Metalické nebo kovářské laky a pastelové odstíny (např. žlutá, oranžová, červená, modrá, fialová, zelená) budou na žádost Objednatele nabídnuty dle individuální kalkulace.</w:t>
            </w:r>
          </w:p>
        </w:tc>
      </w:tr>
      <w:tr>
        <w:trPr>
          <w:tblHeader w:val="true"/>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Systém aplikace laku:</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válečkem</w:t>
            </w:r>
          </w:p>
        </w:tc>
      </w:tr>
      <w:tr>
        <w:trPr>
          <w:tblHeader w:val="true"/>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Tryskání OCK:</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w:t>
            </w:r>
          </w:p>
        </w:tc>
      </w:tr>
      <w:tr>
        <w:trPr>
          <w:tblHeader w:val="true"/>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Požární odolnost OCK:</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cs="Arial" w:ascii="Arial Narrow" w:hAnsi="Arial Narrow"/>
                <w:bCs/>
                <w:kern w:val="0"/>
                <w:lang w:bidi="ar-SA"/>
              </w:rPr>
              <w:t>ANO R30 – dosaženo nátěrem</w:t>
            </w:r>
          </w:p>
        </w:tc>
      </w:tr>
      <w:tr>
        <w:trPr>
          <w:tblHeader w:val="true"/>
          <w:trHeight w:val="454" w:hRule="atLeast"/>
        </w:trPr>
        <w:tc>
          <w:tcPr>
            <w:tcW w:w="2829" w:type="dxa"/>
            <w:tcBorders>
              <w:top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Žárové zinkování OCK:</w:t>
            </w:r>
          </w:p>
        </w:tc>
        <w:tc>
          <w:tcPr>
            <w:tcW w:w="7088" w:type="dxa"/>
            <w:tcBorders>
              <w:top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NE</w:t>
            </w:r>
          </w:p>
        </w:tc>
      </w:tr>
    </w:tbl>
    <w:p>
      <w:pPr>
        <w:pStyle w:val="Normal"/>
        <w:rPr>
          <w:rFonts w:ascii="Arial Narrow" w:hAnsi="Arial Narrow" w:cs="Arial"/>
          <w:bCs/>
          <w:sz w:val="30"/>
          <w:szCs w:val="30"/>
        </w:rPr>
      </w:pPr>
      <w:r>
        <w:rPr>
          <w:rFonts w:cs="Arial" w:ascii="Arial Narrow" w:hAnsi="Arial Narrow"/>
          <w:bCs/>
          <w:sz w:val="30"/>
          <w:szCs w:val="30"/>
        </w:rPr>
      </w:r>
    </w:p>
    <w:tbl>
      <w:tblPr>
        <w:tblStyle w:val="Mkatabulky"/>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29"/>
        <w:gridCol w:w="7088"/>
      </w:tblGrid>
      <w:tr>
        <w:trPr>
          <w:trHeight w:val="454" w:hRule="atLeast"/>
        </w:trPr>
        <w:tc>
          <w:tcPr>
            <w:tcW w:w="9917"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
                <w:bCs/>
                <w:kern w:val="0"/>
                <w:lang w:bidi="ar-SA"/>
              </w:rPr>
              <w:t>Opláštění ocelové konstrukce ATA dle ČSN EN 81-20:</w:t>
            </w:r>
          </w:p>
        </w:tc>
      </w:tr>
      <w:tr>
        <w:trPr>
          <w:trHeight w:val="454" w:hRule="atLeast"/>
        </w:trPr>
        <w:tc>
          <w:tcPr>
            <w:tcW w:w="2829" w:type="dxa"/>
            <w:tcBorders>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Typ opláštění:</w:t>
            </w:r>
          </w:p>
        </w:tc>
        <w:tc>
          <w:tcPr>
            <w:tcW w:w="7088" w:type="dxa"/>
            <w:tcBorders>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
                <w:color w:val="FF0000"/>
                <w:kern w:val="0"/>
                <w:sz w:val="18"/>
                <w:szCs w:val="18"/>
                <w:lang w:bidi="ar-SA"/>
              </w:rPr>
              <w:t>ADE CI</w:t>
            </w:r>
            <w:r>
              <w:rPr>
                <w:rFonts w:ascii="Arial Narrow" w:hAnsi="Arial Narrow"/>
                <w:bCs/>
                <w:color w:val="FF0000"/>
                <w:kern w:val="0"/>
                <w:sz w:val="18"/>
                <w:szCs w:val="18"/>
                <w:lang w:bidi="ar-SA"/>
              </w:rPr>
              <w:t xml:space="preserve"> </w:t>
            </w:r>
            <w:r>
              <w:rPr>
                <w:rFonts w:ascii="Arial Narrow" w:hAnsi="Arial Narrow"/>
                <w:bCs/>
                <w:kern w:val="0"/>
                <w:sz w:val="18"/>
                <w:szCs w:val="18"/>
                <w:lang w:bidi="ar-SA"/>
              </w:rPr>
              <w:t xml:space="preserve">předsazené opláštění certifikovaným </w:t>
            </w:r>
            <w:r>
              <w:rPr>
                <w:rFonts w:ascii="Arial Narrow" w:hAnsi="Arial Narrow"/>
                <w:b/>
                <w:kern w:val="0"/>
                <w:sz w:val="18"/>
                <w:szCs w:val="18"/>
                <w:lang w:bidi="ar-SA"/>
              </w:rPr>
              <w:t>KONTAKTNÍM ZATEPLOVACÍM SYSTÉMEM</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Umístění opláštění:</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z vnější strany ocelové konstrukce výtahové šachty</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Čelní stěna:</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
                <w:color w:val="FF0000"/>
                <w:kern w:val="0"/>
                <w:sz w:val="18"/>
                <w:szCs w:val="18"/>
                <w:lang w:bidi="ar-SA"/>
              </w:rPr>
              <w:t>bez opláštění</w:t>
            </w:r>
            <w:r>
              <w:rPr>
                <w:rFonts w:ascii="Arial Narrow" w:hAnsi="Arial Narrow"/>
                <w:bCs/>
                <w:color w:val="FF0000"/>
                <w:kern w:val="0"/>
                <w:sz w:val="18"/>
                <w:szCs w:val="18"/>
                <w:lang w:bidi="ar-SA"/>
              </w:rPr>
              <w:t xml:space="preserve"> </w:t>
            </w:r>
            <w:r>
              <w:rPr>
                <w:rFonts w:ascii="Arial Narrow" w:hAnsi="Arial Narrow"/>
                <w:bCs/>
                <w:kern w:val="0"/>
                <w:sz w:val="18"/>
                <w:szCs w:val="18"/>
                <w:lang w:bidi="ar-SA"/>
              </w:rPr>
              <w:t>– výtahová šachta je přisazena k fasádě objektu. Zapravení mezer, tj. dotažení ostění k rámům šachetních dveří výtahu vč. dotažení podlah k prahům šachetních dveří - dodávka Objednatele.</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Levá boční stěna:</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1x deska</w:t>
            </w:r>
            <w:r>
              <w:rPr>
                <w:rFonts w:ascii="Arial Narrow" w:hAnsi="Arial Narrow"/>
                <w:b/>
                <w:kern w:val="0"/>
                <w:sz w:val="18"/>
                <w:szCs w:val="18"/>
                <w:lang w:bidi="ar-SA"/>
              </w:rPr>
              <w:t xml:space="preserve"> FERMACELL firepanell tl. 15mm </w:t>
            </w:r>
            <w:r>
              <w:rPr>
                <w:rFonts w:ascii="Arial Narrow" w:hAnsi="Arial Narrow"/>
                <w:bCs/>
                <w:kern w:val="0"/>
                <w:sz w:val="18"/>
                <w:szCs w:val="18"/>
                <w:lang w:bidi="ar-SA"/>
              </w:rPr>
              <w:t xml:space="preserve">+ </w:t>
            </w:r>
            <w:r>
              <w:rPr>
                <w:rFonts w:ascii="Arial Narrow" w:hAnsi="Arial Narrow"/>
                <w:b/>
                <w:kern w:val="0"/>
                <w:sz w:val="18"/>
                <w:szCs w:val="18"/>
                <w:lang w:bidi="ar-SA"/>
              </w:rPr>
              <w:t xml:space="preserve">MINERÁLNÍ IZOLACE </w:t>
            </w:r>
            <w:r>
              <w:rPr>
                <w:rFonts w:ascii="Arial Narrow" w:hAnsi="Arial Narrow"/>
                <w:bCs/>
                <w:kern w:val="0"/>
                <w:sz w:val="18"/>
                <w:szCs w:val="18"/>
                <w:lang w:bidi="ar-SA"/>
              </w:rPr>
              <w:t xml:space="preserve">+ </w:t>
            </w:r>
            <w:r>
              <w:rPr>
                <w:rFonts w:ascii="Arial Narrow" w:hAnsi="Arial Narrow"/>
                <w:b/>
                <w:kern w:val="0"/>
                <w:sz w:val="18"/>
                <w:szCs w:val="18"/>
                <w:lang w:bidi="ar-SA"/>
              </w:rPr>
              <w:t>AKRYLÁTOVÁ PROBARVENÁ OMÍTKA</w:t>
            </w:r>
            <w:r>
              <w:rPr>
                <w:rFonts w:ascii="Arial Narrow" w:hAnsi="Arial Narrow"/>
                <w:bCs/>
                <w:kern w:val="0"/>
                <w:sz w:val="18"/>
                <w:szCs w:val="18"/>
                <w:lang w:bidi="ar-SA"/>
              </w:rPr>
              <w:t>, zrnitost 1,5 mm</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Pravá boční stěna:</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1x deska</w:t>
            </w:r>
            <w:r>
              <w:rPr>
                <w:rFonts w:ascii="Arial Narrow" w:hAnsi="Arial Narrow"/>
                <w:b/>
                <w:kern w:val="0"/>
                <w:sz w:val="18"/>
                <w:szCs w:val="18"/>
                <w:lang w:bidi="ar-SA"/>
              </w:rPr>
              <w:t xml:space="preserve"> FERMACELL firepanell tl. 15mm </w:t>
            </w:r>
            <w:r>
              <w:rPr>
                <w:rFonts w:ascii="Arial Narrow" w:hAnsi="Arial Narrow"/>
                <w:bCs/>
                <w:kern w:val="0"/>
                <w:sz w:val="18"/>
                <w:szCs w:val="18"/>
                <w:lang w:bidi="ar-SA"/>
              </w:rPr>
              <w:t xml:space="preserve">+ </w:t>
            </w:r>
            <w:r>
              <w:rPr>
                <w:rFonts w:ascii="Arial Narrow" w:hAnsi="Arial Narrow"/>
                <w:b/>
                <w:kern w:val="0"/>
                <w:sz w:val="18"/>
                <w:szCs w:val="18"/>
                <w:lang w:bidi="ar-SA"/>
              </w:rPr>
              <w:t xml:space="preserve">MINERÁLNÍ IZOLACE </w:t>
            </w:r>
            <w:r>
              <w:rPr>
                <w:rFonts w:ascii="Arial Narrow" w:hAnsi="Arial Narrow"/>
                <w:bCs/>
                <w:kern w:val="0"/>
                <w:sz w:val="18"/>
                <w:szCs w:val="18"/>
                <w:lang w:bidi="ar-SA"/>
              </w:rPr>
              <w:t xml:space="preserve">+ </w:t>
            </w:r>
            <w:r>
              <w:rPr>
                <w:rFonts w:ascii="Arial Narrow" w:hAnsi="Arial Narrow"/>
                <w:b/>
                <w:kern w:val="0"/>
                <w:sz w:val="18"/>
                <w:szCs w:val="18"/>
                <w:lang w:bidi="ar-SA"/>
              </w:rPr>
              <w:t>AKRYLÁTOVÁ PROBARVENÁ OMÍTKA</w:t>
            </w:r>
            <w:r>
              <w:rPr>
                <w:rFonts w:ascii="Arial Narrow" w:hAnsi="Arial Narrow"/>
                <w:bCs/>
                <w:kern w:val="0"/>
                <w:sz w:val="18"/>
                <w:szCs w:val="18"/>
                <w:lang w:bidi="ar-SA"/>
              </w:rPr>
              <w:t>, zrnitost 1,5 mm</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rPr>
            </w:pPr>
            <w:r>
              <w:rPr>
                <w:rFonts w:ascii="Arial Narrow" w:hAnsi="Arial Narrow"/>
                <w:b/>
                <w:bCs/>
                <w:kern w:val="0"/>
                <w:sz w:val="18"/>
                <w:szCs w:val="18"/>
                <w:lang w:bidi="ar-SA"/>
              </w:rPr>
              <w:t>Zadní stěna:</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rPr>
            </w:pPr>
            <w:r>
              <w:rPr>
                <w:rFonts w:ascii="Arial Narrow" w:hAnsi="Arial Narrow"/>
                <w:bCs/>
                <w:kern w:val="0"/>
                <w:sz w:val="18"/>
                <w:szCs w:val="18"/>
                <w:lang w:bidi="ar-SA"/>
              </w:rPr>
              <w:t>1x deska</w:t>
            </w:r>
            <w:r>
              <w:rPr>
                <w:rFonts w:ascii="Arial Narrow" w:hAnsi="Arial Narrow"/>
                <w:b/>
                <w:kern w:val="0"/>
                <w:sz w:val="18"/>
                <w:szCs w:val="18"/>
                <w:lang w:bidi="ar-SA"/>
              </w:rPr>
              <w:t xml:space="preserve"> FERMACELL firepanell tl. 15mm </w:t>
            </w:r>
            <w:r>
              <w:rPr>
                <w:rFonts w:ascii="Arial Narrow" w:hAnsi="Arial Narrow"/>
                <w:bCs/>
                <w:kern w:val="0"/>
                <w:sz w:val="18"/>
                <w:szCs w:val="18"/>
                <w:lang w:bidi="ar-SA"/>
              </w:rPr>
              <w:t xml:space="preserve">+ </w:t>
            </w:r>
            <w:r>
              <w:rPr>
                <w:rFonts w:ascii="Arial Narrow" w:hAnsi="Arial Narrow"/>
                <w:b/>
                <w:kern w:val="0"/>
                <w:sz w:val="18"/>
                <w:szCs w:val="18"/>
                <w:lang w:bidi="ar-SA"/>
              </w:rPr>
              <w:t xml:space="preserve">MINERÁLNÍ IZOLACE </w:t>
            </w:r>
            <w:r>
              <w:rPr>
                <w:rFonts w:ascii="Arial Narrow" w:hAnsi="Arial Narrow"/>
                <w:bCs/>
                <w:kern w:val="0"/>
                <w:sz w:val="18"/>
                <w:szCs w:val="18"/>
                <w:lang w:bidi="ar-SA"/>
              </w:rPr>
              <w:t xml:space="preserve">+ </w:t>
            </w:r>
            <w:r>
              <w:rPr>
                <w:rFonts w:ascii="Arial Narrow" w:hAnsi="Arial Narrow"/>
                <w:b/>
                <w:kern w:val="0"/>
                <w:sz w:val="18"/>
                <w:szCs w:val="18"/>
                <w:lang w:bidi="ar-SA"/>
              </w:rPr>
              <w:t>AKRYLÁTOVÁ PROBARVENÁ OMÍTKA</w:t>
            </w:r>
            <w:r>
              <w:rPr>
                <w:rFonts w:ascii="Arial Narrow" w:hAnsi="Arial Narrow"/>
                <w:bCs/>
                <w:kern w:val="0"/>
                <w:sz w:val="18"/>
                <w:szCs w:val="18"/>
                <w:lang w:bidi="ar-SA"/>
              </w:rPr>
              <w:t>, zrnitost 1,5 mm</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 xml:space="preserve">Čelní stěna </w:t>
            </w:r>
            <w:r>
              <w:rPr>
                <w:rFonts w:ascii="Arial Narrow" w:hAnsi="Arial Narrow"/>
                <w:kern w:val="0"/>
                <w:sz w:val="18"/>
                <w:szCs w:val="18"/>
                <w:lang w:bidi="ar-SA"/>
              </w:rPr>
              <w:t>(vnitřní opláštění)</w:t>
            </w:r>
            <w:r>
              <w:rPr>
                <w:rFonts w:ascii="Arial Narrow" w:hAnsi="Arial Narrow"/>
                <w:b/>
                <w:bCs/>
                <w:kern w:val="0"/>
                <w:sz w:val="18"/>
                <w:szCs w:val="18"/>
                <w:lang w:bidi="ar-SA"/>
              </w:rPr>
              <w:t>:</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NE - kabinové dveře budou vybaveny hákovou dveřní uzávěrou</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Levá stěna nástupního můstku:</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NE</w:t>
            </w:r>
          </w:p>
        </w:tc>
      </w:tr>
      <w:tr>
        <w:trPr>
          <w:trHeight w:val="454" w:hRule="atLeast"/>
        </w:trPr>
        <w:tc>
          <w:tcPr>
            <w:tcW w:w="2829"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Pravá stěna nástupního můstku:</w:t>
            </w:r>
          </w:p>
        </w:tc>
        <w:tc>
          <w:tcPr>
            <w:tcW w:w="7088"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NE</w:t>
            </w:r>
          </w:p>
        </w:tc>
      </w:tr>
      <w:tr>
        <w:trPr>
          <w:trHeight w:val="454" w:hRule="atLeast"/>
        </w:trPr>
        <w:tc>
          <w:tcPr>
            <w:tcW w:w="2829" w:type="dxa"/>
            <w:tcBorders>
              <w:top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Požární odolnost opláštění OCK:</w:t>
            </w:r>
          </w:p>
        </w:tc>
        <w:tc>
          <w:tcPr>
            <w:tcW w:w="7088" w:type="dxa"/>
            <w:tcBorders>
              <w:top w:val="dotted" w:sz="4" w:space="0" w:color="000000"/>
            </w:tcBorders>
            <w:vAlign w:val="center"/>
          </w:tcPr>
          <w:p>
            <w:pPr>
              <w:pStyle w:val="Normal"/>
              <w:widowControl w:val="false"/>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ANO – EI 30 DP1</w:t>
            </w:r>
          </w:p>
        </w:tc>
      </w:tr>
      <w:tr>
        <w:trPr>
          <w:trHeight w:val="567" w:hRule="atLeast"/>
        </w:trPr>
        <w:tc>
          <w:tcPr>
            <w:tcW w:w="9917"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rPr>
            </w:pPr>
            <w:r>
              <w:rPr>
                <w:rFonts w:cs="Arial" w:ascii="Arial Narrow" w:hAnsi="Arial Narrow"/>
                <w:b/>
                <w:color w:val="FF0000"/>
                <w:kern w:val="0"/>
                <w:sz w:val="18"/>
                <w:szCs w:val="18"/>
                <w:u w:val="single"/>
                <w:lang w:bidi="ar-SA"/>
              </w:rPr>
              <w:t xml:space="preserve">Poznámka </w:t>
            </w:r>
            <w:r>
              <w:rPr>
                <w:rFonts w:cs="Arial" w:ascii="Arial Narrow" w:hAnsi="Arial Narrow"/>
                <w:bCs/>
                <w:kern w:val="0"/>
                <w:sz w:val="18"/>
                <w:szCs w:val="18"/>
                <w:lang w:bidi="ar-SA"/>
              </w:rPr>
              <w:t>: Nabídka neobsahuje náklady na zhotovení otvorů do opláštění výtahové šachty pro instalaci displejů (LIP), přivolávačů (LOP) a dalších prvků od výtahu nebo jiných zařízení.</w:t>
            </w:r>
          </w:p>
        </w:tc>
      </w:tr>
    </w:tbl>
    <w:p>
      <w:pPr>
        <w:pStyle w:val="Normal"/>
        <w:rPr>
          <w:rFonts w:ascii="Arial Narrow" w:hAnsi="Arial Narrow" w:cs="Arial"/>
          <w:bCs/>
          <w:sz w:val="30"/>
          <w:szCs w:val="30"/>
        </w:rPr>
      </w:pPr>
      <w:r>
        <w:rPr>
          <w:rFonts w:cs="Arial" w:ascii="Arial Narrow" w:hAnsi="Arial Narrow"/>
          <w:bCs/>
          <w:sz w:val="30"/>
          <w:szCs w:val="30"/>
        </w:rPr>
      </w:r>
    </w:p>
    <w:tbl>
      <w:tblPr>
        <w:tblStyle w:val="Mkatabulky"/>
        <w:tblW w:w="1034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785"/>
        <w:gridCol w:w="3862"/>
        <w:gridCol w:w="3696"/>
      </w:tblGrid>
      <w:tr>
        <w:trPr>
          <w:tblHeader w:val="true"/>
          <w:trHeight w:val="454" w:hRule="atLeast"/>
        </w:trPr>
        <w:tc>
          <w:tcPr>
            <w:tcW w:w="10343" w:type="dxa"/>
            <w:gridSpan w:val="3"/>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ascii="Arial Narrow" w:hAnsi="Arial Narrow"/>
                <w:b/>
                <w:bCs/>
                <w:kern w:val="0"/>
                <w:lang w:bidi="ar-SA"/>
              </w:rPr>
              <w:t>Střešní konstrukce a klempířské prvky:</w:t>
              <w:tab/>
            </w:r>
          </w:p>
        </w:tc>
      </w:tr>
      <w:tr>
        <w:trPr>
          <w:tblHeader w:val="true"/>
          <w:trHeight w:val="454" w:hRule="atLeast"/>
        </w:trPr>
        <w:tc>
          <w:tcPr>
            <w:tcW w:w="2785" w:type="dxa"/>
            <w:tcBorders>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Zastřešení výtahové šachty:</w:t>
            </w:r>
          </w:p>
        </w:tc>
        <w:tc>
          <w:tcPr>
            <w:tcW w:w="3862" w:type="dxa"/>
            <w:tcBorders>
              <w:bottom w:val="dotted" w:sz="4" w:space="0" w:color="000000"/>
            </w:tcBorders>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Cs/>
                <w:kern w:val="0"/>
                <w:sz w:val="18"/>
                <w:szCs w:val="18"/>
                <w:lang w:bidi="ar-SA"/>
              </w:rPr>
              <w:t>ANO</w:t>
            </w:r>
          </w:p>
        </w:tc>
        <w:tc>
          <w:tcPr>
            <w:tcW w:w="3696" w:type="dxa"/>
            <w:vMerge w:val="restart"/>
            <w:tcBorders/>
            <w:vAlign w:val="center"/>
          </w:tcPr>
          <w:p>
            <w:pPr>
              <w:pStyle w:val="Normal"/>
              <w:widowControl w:val="false"/>
              <w:suppressAutoHyphens w:val="true"/>
              <w:spacing w:before="0" w:after="120"/>
              <w:jc w:val="left"/>
              <w:rPr>
                <w:rFonts w:ascii="Arial Narrow" w:hAnsi="Arial Narrow" w:cs="Arial"/>
                <w:bCs/>
                <w:sz w:val="30"/>
                <w:szCs w:val="30"/>
              </w:rPr>
            </w:pPr>
            <w:r>
              <w:rPr/>
              <w:drawing>
                <wp:inline distT="0" distB="0" distL="0" distR="0">
                  <wp:extent cx="2205990" cy="1377315"/>
                  <wp:effectExtent l="0" t="0" r="0" b="0"/>
                  <wp:docPr id="1" name="Obrázek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
                          <pic:cNvPicPr>
                            <a:picLocks noChangeAspect="1" noChangeArrowheads="1"/>
                          </pic:cNvPicPr>
                        </pic:nvPicPr>
                        <pic:blipFill>
                          <a:blip r:embed="rId2"/>
                          <a:stretch>
                            <a:fillRect/>
                          </a:stretch>
                        </pic:blipFill>
                        <pic:spPr bwMode="auto">
                          <a:xfrm>
                            <a:off x="0" y="0"/>
                            <a:ext cx="2205990" cy="1377315"/>
                          </a:xfrm>
                          <a:prstGeom prst="rect">
                            <a:avLst/>
                          </a:prstGeom>
                        </pic:spPr>
                      </pic:pic>
                    </a:graphicData>
                  </a:graphic>
                </wp:inline>
              </w:drawing>
            </w:r>
          </w:p>
        </w:tc>
      </w:tr>
      <w:tr>
        <w:trPr>
          <w:tblHeader w:val="true"/>
          <w:trHeight w:val="454" w:hRule="atLeast"/>
        </w:trPr>
        <w:tc>
          <w:tcPr>
            <w:tcW w:w="2785"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Typ střechy:</w:t>
            </w:r>
          </w:p>
        </w:tc>
        <w:tc>
          <w:tcPr>
            <w:tcW w:w="3862" w:type="dxa"/>
            <w:tcBorders>
              <w:top w:val="dotted" w:sz="4" w:space="0" w:color="000000"/>
              <w:bottom w:val="dotted" w:sz="4" w:space="0" w:color="000000"/>
            </w:tcBorders>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Cs/>
                <w:kern w:val="0"/>
                <w:sz w:val="18"/>
                <w:szCs w:val="18"/>
                <w:lang w:bidi="ar-SA"/>
              </w:rPr>
              <w:t xml:space="preserve">pultová – </w:t>
            </w:r>
            <w:r>
              <w:rPr>
                <w:rFonts w:ascii="Arial Narrow" w:hAnsi="Arial Narrow"/>
                <w:bCs/>
                <w:color w:val="FF0000"/>
                <w:kern w:val="0"/>
                <w:sz w:val="18"/>
                <w:szCs w:val="18"/>
                <w:lang w:bidi="ar-SA"/>
              </w:rPr>
              <w:t>bez požární odolnosti</w:t>
            </w:r>
          </w:p>
        </w:tc>
        <w:tc>
          <w:tcPr>
            <w:tcW w:w="3696" w:type="dxa"/>
            <w:vMerge w:val="continue"/>
            <w:tcBorders/>
            <w:vAlign w:val="center"/>
          </w:tcPr>
          <w:p>
            <w:pPr>
              <w:pStyle w:val="Normal"/>
              <w:widowControl w:val="false"/>
              <w:suppressAutoHyphens w:val="true"/>
              <w:spacing w:before="0" w:after="120"/>
              <w:jc w:val="left"/>
              <w:rPr>
                <w:rFonts w:ascii="Arial Narrow" w:hAnsi="Arial Narrow" w:cs="Arial"/>
                <w:bCs/>
                <w:sz w:val="30"/>
                <w:szCs w:val="30"/>
              </w:rPr>
            </w:pPr>
            <w:r>
              <w:rPr>
                <w:rFonts w:cs="Arial" w:ascii="Arial Narrow" w:hAnsi="Arial Narrow"/>
                <w:bCs/>
                <w:sz w:val="30"/>
                <w:szCs w:val="30"/>
              </w:rPr>
            </w:r>
          </w:p>
        </w:tc>
      </w:tr>
      <w:tr>
        <w:trPr>
          <w:tblHeader w:val="true"/>
          <w:trHeight w:val="454" w:hRule="atLeast"/>
        </w:trPr>
        <w:tc>
          <w:tcPr>
            <w:tcW w:w="2785"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Skladba střechy:</w:t>
            </w:r>
          </w:p>
        </w:tc>
        <w:tc>
          <w:tcPr>
            <w:tcW w:w="3862" w:type="dxa"/>
            <w:tcBorders>
              <w:top w:val="dotted" w:sz="4" w:space="0" w:color="000000"/>
              <w:bottom w:val="dotted" w:sz="4" w:space="0" w:color="000000"/>
            </w:tcBorders>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Cs/>
                <w:kern w:val="0"/>
                <w:sz w:val="18"/>
                <w:szCs w:val="18"/>
                <w:lang w:bidi="ar-SA"/>
              </w:rPr>
              <w:t>plechová kazeta, OSB nebo Cetris deska, PSB spádové klíny, OSB nebo Cetris deska, pojistná hydroizolace, vrchní plechová krytina</w:t>
            </w:r>
          </w:p>
        </w:tc>
        <w:tc>
          <w:tcPr>
            <w:tcW w:w="3696" w:type="dxa"/>
            <w:vMerge w:val="continue"/>
            <w:tcBorders/>
            <w:vAlign w:val="center"/>
          </w:tcPr>
          <w:p>
            <w:pPr>
              <w:pStyle w:val="Normal"/>
              <w:widowControl w:val="false"/>
              <w:suppressAutoHyphens w:val="true"/>
              <w:spacing w:before="0" w:after="120"/>
              <w:jc w:val="left"/>
              <w:rPr>
                <w:rFonts w:ascii="Arial Narrow" w:hAnsi="Arial Narrow" w:cs="Arial"/>
                <w:bCs/>
                <w:sz w:val="30"/>
                <w:szCs w:val="30"/>
              </w:rPr>
            </w:pPr>
            <w:r>
              <w:rPr>
                <w:rFonts w:cs="Arial" w:ascii="Arial Narrow" w:hAnsi="Arial Narrow"/>
                <w:bCs/>
                <w:sz w:val="30"/>
                <w:szCs w:val="30"/>
              </w:rPr>
            </w:r>
          </w:p>
        </w:tc>
      </w:tr>
      <w:tr>
        <w:trPr>
          <w:tblHeader w:val="true"/>
          <w:trHeight w:val="454" w:hRule="atLeast"/>
        </w:trPr>
        <w:tc>
          <w:tcPr>
            <w:tcW w:w="2785"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Vrchní krytina střechy a klempířský materiál:</w:t>
            </w:r>
          </w:p>
        </w:tc>
        <w:tc>
          <w:tcPr>
            <w:tcW w:w="3862" w:type="dxa"/>
            <w:tcBorders>
              <w:top w:val="dotted" w:sz="4" w:space="0" w:color="000000"/>
              <w:bottom w:val="dotted" w:sz="4" w:space="0" w:color="000000"/>
            </w:tcBorders>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Cs/>
                <w:kern w:val="0"/>
                <w:sz w:val="18"/>
                <w:szCs w:val="18"/>
                <w:lang w:bidi="ar-SA"/>
              </w:rPr>
              <w:t>lakovaný pozinkovaný plech v odstínu RAL dle vzorníku Zhotovitele</w:t>
            </w:r>
          </w:p>
        </w:tc>
        <w:tc>
          <w:tcPr>
            <w:tcW w:w="3696" w:type="dxa"/>
            <w:vMerge w:val="continue"/>
            <w:tcBorders/>
            <w:vAlign w:val="center"/>
          </w:tcPr>
          <w:p>
            <w:pPr>
              <w:pStyle w:val="Normal"/>
              <w:widowControl w:val="false"/>
              <w:suppressAutoHyphens w:val="true"/>
              <w:spacing w:before="0" w:after="120"/>
              <w:jc w:val="left"/>
              <w:rPr>
                <w:rFonts w:ascii="Arial Narrow" w:hAnsi="Arial Narrow" w:cs="Arial"/>
                <w:bCs/>
                <w:sz w:val="30"/>
                <w:szCs w:val="30"/>
              </w:rPr>
            </w:pPr>
            <w:r>
              <w:rPr>
                <w:rFonts w:cs="Arial" w:ascii="Arial Narrow" w:hAnsi="Arial Narrow"/>
                <w:bCs/>
                <w:sz w:val="30"/>
                <w:szCs w:val="30"/>
              </w:rPr>
            </w:r>
          </w:p>
        </w:tc>
      </w:tr>
      <w:tr>
        <w:trPr>
          <w:tblHeader w:val="true"/>
          <w:trHeight w:val="454" w:hRule="atLeast"/>
        </w:trPr>
        <w:tc>
          <w:tcPr>
            <w:tcW w:w="2785" w:type="dxa"/>
            <w:tcBorders>
              <w:top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Dešťový svod a žlab:</w:t>
            </w:r>
          </w:p>
          <w:p>
            <w:pPr>
              <w:pStyle w:val="Normal"/>
              <w:widowControl w:val="false"/>
              <w:suppressAutoHyphens w:val="true"/>
              <w:spacing w:before="0" w:after="120"/>
              <w:jc w:val="left"/>
              <w:rPr>
                <w:rFonts w:ascii="Arial Narrow" w:hAnsi="Arial Narrow" w:cs="Arial"/>
                <w:bCs/>
                <w:sz w:val="30"/>
                <w:szCs w:val="30"/>
              </w:rPr>
            </w:pPr>
            <w:r>
              <w:rPr>
                <w:rFonts w:ascii="Arial Narrow" w:hAnsi="Arial Narrow"/>
                <w:kern w:val="0"/>
                <w:sz w:val="18"/>
                <w:szCs w:val="18"/>
                <w:lang w:bidi="ar-SA"/>
              </w:rPr>
              <w:t>(za příplatek)</w:t>
            </w:r>
          </w:p>
        </w:tc>
        <w:tc>
          <w:tcPr>
            <w:tcW w:w="3862" w:type="dxa"/>
            <w:tcBorders>
              <w:top w:val="dotted" w:sz="4" w:space="0" w:color="000000"/>
            </w:tcBorders>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Cs/>
                <w:kern w:val="0"/>
                <w:sz w:val="18"/>
                <w:szCs w:val="18"/>
                <w:lang w:bidi="ar-SA"/>
              </w:rPr>
              <w:t>NE</w:t>
            </w:r>
          </w:p>
        </w:tc>
        <w:tc>
          <w:tcPr>
            <w:tcW w:w="3696" w:type="dxa"/>
            <w:vMerge w:val="continue"/>
            <w:tcBorders/>
            <w:vAlign w:val="center"/>
          </w:tcPr>
          <w:p>
            <w:pPr>
              <w:pStyle w:val="Normal"/>
              <w:widowControl w:val="false"/>
              <w:suppressAutoHyphens w:val="true"/>
              <w:spacing w:before="0" w:after="120"/>
              <w:jc w:val="left"/>
              <w:rPr>
                <w:rFonts w:ascii="Arial Narrow" w:hAnsi="Arial Narrow" w:cs="Arial"/>
                <w:bCs/>
                <w:sz w:val="30"/>
                <w:szCs w:val="30"/>
              </w:rPr>
            </w:pPr>
            <w:r>
              <w:rPr>
                <w:rFonts w:cs="Arial" w:ascii="Arial Narrow" w:hAnsi="Arial Narrow"/>
                <w:bCs/>
                <w:sz w:val="30"/>
                <w:szCs w:val="30"/>
              </w:rPr>
            </w:r>
          </w:p>
        </w:tc>
      </w:tr>
      <w:tr>
        <w:trPr>
          <w:tblHeader w:val="true"/>
          <w:trHeight w:val="851" w:hRule="atLeast"/>
        </w:trPr>
        <w:tc>
          <w:tcPr>
            <w:tcW w:w="10343" w:type="dxa"/>
            <w:gridSpan w:val="3"/>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cs="Arial" w:ascii="Arial Narrow" w:hAnsi="Arial Narrow"/>
                <w:b/>
                <w:color w:val="FF0000"/>
                <w:kern w:val="0"/>
                <w:sz w:val="18"/>
                <w:szCs w:val="18"/>
                <w:u w:val="single"/>
                <w:lang w:bidi="ar-SA"/>
              </w:rPr>
              <w:t xml:space="preserve">Poznámka </w:t>
            </w:r>
            <w:r>
              <w:rPr>
                <w:rFonts w:cs="Arial" w:ascii="Arial Narrow" w:hAnsi="Arial Narrow"/>
                <w:bCs/>
                <w:kern w:val="0"/>
                <w:sz w:val="18"/>
                <w:szCs w:val="18"/>
                <w:lang w:bidi="ar-SA"/>
              </w:rPr>
              <w:t>: Napojení okolních střešních konstrukcí přiléhajícího objektu na střechu výtahové šachty je dodávkou Objednatele. Střešní konstrukce výtahové šachty je nepochozí, proto není nabídkou řešen přístupový systém na střechu výtahové šachty, zádržný ani záchytný systém pro pohyb osob provádějící údržbu, servis atp. Součástí dodávky střešní konstrukce výtahové šachty jsou kotevní oka pro servis a údržbu výtahové šachty.</w:t>
            </w:r>
          </w:p>
        </w:tc>
      </w:tr>
    </w:tbl>
    <w:p>
      <w:pPr>
        <w:pStyle w:val="Normal"/>
        <w:rPr>
          <w:rFonts w:ascii="Arial Narrow" w:hAnsi="Arial Narrow" w:cs="Arial"/>
          <w:bCs/>
          <w:sz w:val="30"/>
          <w:szCs w:val="30"/>
        </w:rPr>
      </w:pPr>
      <w:r>
        <w:rPr>
          <w:rFonts w:cs="Arial" w:ascii="Arial Narrow" w:hAnsi="Arial Narrow"/>
          <w:bCs/>
          <w:sz w:val="30"/>
          <w:szCs w:val="30"/>
        </w:rPr>
      </w:r>
    </w:p>
    <w:tbl>
      <w:tblPr>
        <w:tblStyle w:val="Mkatabulky"/>
        <w:tblW w:w="1034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27"/>
        <w:gridCol w:w="7515"/>
      </w:tblGrid>
      <w:tr>
        <w:trPr>
          <w:tblHeader w:val="true"/>
          <w:trHeight w:val="454" w:hRule="atLeast"/>
        </w:trPr>
        <w:tc>
          <w:tcPr>
            <w:tcW w:w="10342"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ascii="Arial Narrow" w:hAnsi="Arial Narrow"/>
                <w:b/>
                <w:bCs/>
                <w:kern w:val="0"/>
                <w:lang w:bidi="ar-SA"/>
              </w:rPr>
              <w:t>6</w:t>
              <w:tab/>
              <w:t>Zajištění prostředí dle ČSN EN 81.20:</w:t>
            </w:r>
          </w:p>
        </w:tc>
      </w:tr>
      <w:tr>
        <w:trPr>
          <w:tblHeader w:val="true"/>
          <w:trHeight w:val="454" w:hRule="atLeast"/>
        </w:trPr>
        <w:tc>
          <w:tcPr>
            <w:tcW w:w="2827" w:type="dxa"/>
            <w:tcBorders>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Odvětrání dle ČSN EN 81.20:</w:t>
            </w:r>
          </w:p>
        </w:tc>
        <w:tc>
          <w:tcPr>
            <w:tcW w:w="7515" w:type="dxa"/>
            <w:tcBorders>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ascii="Arial Narrow" w:hAnsi="Arial Narrow"/>
                <w:bCs/>
                <w:kern w:val="0"/>
                <w:sz w:val="18"/>
                <w:szCs w:val="18"/>
                <w:lang w:bidi="ar-SA"/>
              </w:rPr>
              <w:t>ANO – přirozená cirkulace vzduchu</w:t>
            </w:r>
          </w:p>
        </w:tc>
      </w:tr>
      <w:tr>
        <w:trPr>
          <w:tblHeader w:val="true"/>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Ventilační žaluzie:</w:t>
            </w:r>
          </w:p>
        </w:tc>
        <w:tc>
          <w:tcPr>
            <w:tcW w:w="7515" w:type="dxa"/>
            <w:tcBorders>
              <w:top w:val="dotted" w:sz="4" w:space="0" w:color="000000"/>
              <w:bottom w:val="dotted" w:sz="4" w:space="0" w:color="000000"/>
            </w:tcBorders>
            <w:vAlign w:val="center"/>
          </w:tcPr>
          <w:p>
            <w:pPr>
              <w:pStyle w:val="Tlotextu"/>
              <w:widowControl w:val="false"/>
              <w:tabs>
                <w:tab w:val="clear" w:pos="720"/>
                <w:tab w:val="left" w:pos="567" w:leader="none"/>
                <w:tab w:val="left" w:pos="3402" w:leader="none"/>
              </w:tabs>
              <w:suppressAutoHyphens w:val="true"/>
              <w:spacing w:before="0" w:after="120"/>
              <w:ind w:right="-108" w:hanging="0"/>
              <w:jc w:val="left"/>
              <w:rPr>
                <w:rFonts w:ascii="Arial Narrow" w:hAnsi="Arial Narrow"/>
                <w:bCs/>
                <w:sz w:val="18"/>
                <w:szCs w:val="18"/>
              </w:rPr>
            </w:pPr>
            <w:r>
              <w:rPr>
                <w:rFonts w:ascii="Arial Narrow" w:hAnsi="Arial Narrow"/>
                <w:bCs/>
                <w:kern w:val="0"/>
                <w:sz w:val="18"/>
                <w:szCs w:val="18"/>
                <w:lang w:bidi="ar-SA"/>
              </w:rPr>
              <w:t xml:space="preserve">ANO – </w:t>
            </w:r>
            <w:r>
              <w:rPr>
                <w:rFonts w:ascii="Arial Narrow" w:hAnsi="Arial Narrow"/>
                <w:bCs/>
                <w:kern w:val="0"/>
                <w:sz w:val="18"/>
                <w:szCs w:val="18"/>
                <w:lang w:val="cs-CZ" w:bidi="ar-SA"/>
              </w:rPr>
              <w:t>1</w:t>
            </w:r>
            <w:r>
              <w:rPr>
                <w:rFonts w:ascii="Arial Narrow" w:hAnsi="Arial Narrow"/>
                <w:bCs/>
                <w:kern w:val="0"/>
                <w:sz w:val="18"/>
                <w:szCs w:val="18"/>
                <w:lang w:bidi="ar-SA"/>
              </w:rPr>
              <w:t xml:space="preserve"> kus, umístění </w:t>
            </w:r>
            <w:r>
              <w:rPr>
                <w:rFonts w:ascii="Arial Narrow" w:hAnsi="Arial Narrow"/>
                <w:bCs/>
                <w:kern w:val="0"/>
                <w:sz w:val="18"/>
                <w:szCs w:val="18"/>
                <w:lang w:val="cs-CZ" w:bidi="ar-SA"/>
              </w:rPr>
              <w:t xml:space="preserve">v </w:t>
            </w:r>
            <w:r>
              <w:rPr>
                <w:rFonts w:ascii="Arial Narrow" w:hAnsi="Arial Narrow"/>
                <w:bCs/>
                <w:kern w:val="0"/>
                <w:sz w:val="18"/>
                <w:szCs w:val="18"/>
                <w:lang w:bidi="ar-SA"/>
              </w:rPr>
              <w:t>horní části šachty,</w:t>
            </w:r>
            <w:r>
              <w:rPr>
                <w:rFonts w:ascii="Arial Narrow" w:hAnsi="Arial Narrow"/>
                <w:bCs/>
                <w:kern w:val="0"/>
                <w:sz w:val="18"/>
                <w:szCs w:val="18"/>
                <w:lang w:val="cs-CZ" w:bidi="ar-SA"/>
              </w:rPr>
              <w:t xml:space="preserve"> </w:t>
            </w:r>
            <w:r>
              <w:rPr>
                <w:rFonts w:ascii="Arial Narrow" w:hAnsi="Arial Narrow"/>
                <w:bCs/>
                <w:kern w:val="0"/>
                <w:sz w:val="18"/>
                <w:szCs w:val="18"/>
                <w:lang w:bidi="ar-SA"/>
              </w:rPr>
              <w:t>žaluzie opatřen</w:t>
            </w:r>
            <w:r>
              <w:rPr>
                <w:rFonts w:ascii="Arial Narrow" w:hAnsi="Arial Narrow"/>
                <w:bCs/>
                <w:kern w:val="0"/>
                <w:sz w:val="18"/>
                <w:szCs w:val="18"/>
                <w:lang w:val="cs-CZ" w:bidi="ar-SA"/>
              </w:rPr>
              <w:t>a</w:t>
            </w:r>
            <w:r>
              <w:rPr>
                <w:rFonts w:ascii="Arial Narrow" w:hAnsi="Arial Narrow"/>
                <w:bCs/>
                <w:kern w:val="0"/>
                <w:sz w:val="18"/>
                <w:szCs w:val="18"/>
                <w:lang w:bidi="ar-SA"/>
              </w:rPr>
              <w:t xml:space="preserve"> síťkou proti hmyzu</w:t>
            </w:r>
            <w:r>
              <w:rPr>
                <w:rFonts w:ascii="Arial Narrow" w:hAnsi="Arial Narrow"/>
                <w:bCs/>
                <w:kern w:val="0"/>
                <w:sz w:val="18"/>
                <w:szCs w:val="18"/>
                <w:lang w:val="cs-CZ" w:bidi="ar-SA"/>
              </w:rPr>
              <w:t>.</w:t>
            </w:r>
          </w:p>
        </w:tc>
      </w:tr>
      <w:tr>
        <w:trPr>
          <w:tblHeader w:val="true"/>
          <w:trHeight w:val="454" w:hRule="atLeast"/>
        </w:trPr>
        <w:tc>
          <w:tcPr>
            <w:tcW w:w="2827" w:type="dxa"/>
            <w:tcBorders>
              <w:top w:val="dotted" w:sz="4" w:space="0" w:color="000000"/>
              <w:bottom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b/>
                <w:bCs/>
                <w:sz w:val="18"/>
                <w:szCs w:val="18"/>
              </w:rPr>
            </w:pPr>
            <w:r>
              <w:rPr>
                <w:rFonts w:ascii="Arial Narrow" w:hAnsi="Arial Narrow"/>
                <w:b/>
                <w:bCs/>
                <w:kern w:val="0"/>
                <w:sz w:val="18"/>
                <w:szCs w:val="18"/>
                <w:lang w:bidi="ar-SA"/>
              </w:rPr>
              <w:t>Elektrický přímotop:</w:t>
            </w:r>
          </w:p>
        </w:tc>
        <w:tc>
          <w:tcPr>
            <w:tcW w:w="7515" w:type="dxa"/>
            <w:tcBorders>
              <w:top w:val="dotted" w:sz="4" w:space="0" w:color="000000"/>
              <w:bottom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ascii="Arial Narrow" w:hAnsi="Arial Narrow"/>
                <w:bCs/>
                <w:kern w:val="0"/>
                <w:sz w:val="18"/>
                <w:szCs w:val="18"/>
                <w:lang w:bidi="ar-SA"/>
              </w:rPr>
              <w:t>Přímotop s elektrickým příkonem 2 kW s instalací v prohlubni výtahové šachty, vč. prostorového termostatu.</w:t>
            </w:r>
          </w:p>
        </w:tc>
      </w:tr>
      <w:tr>
        <w:trPr>
          <w:tblHeader w:val="true"/>
          <w:trHeight w:val="454" w:hRule="atLeast"/>
        </w:trPr>
        <w:tc>
          <w:tcPr>
            <w:tcW w:w="2827" w:type="dxa"/>
            <w:tcBorders>
              <w:top w:val="dotted" w:sz="4" w:space="0" w:color="000000"/>
            </w:tcBorders>
            <w:shd w:color="auto" w:fill="F2F2F2" w:themeFill="background1" w:themeFillShade="f2" w:val="clear"/>
            <w:vAlign w:val="center"/>
          </w:tcPr>
          <w:p>
            <w:pPr>
              <w:pStyle w:val="Normal"/>
              <w:widowControl w:val="false"/>
              <w:suppressAutoHyphens w:val="true"/>
              <w:spacing w:before="0" w:after="120"/>
              <w:jc w:val="left"/>
              <w:rPr>
                <w:rFonts w:ascii="Arial Narrow" w:hAnsi="Arial Narrow" w:cs="Arial"/>
                <w:bCs/>
                <w:sz w:val="30"/>
                <w:szCs w:val="30"/>
              </w:rPr>
            </w:pPr>
            <w:r>
              <w:rPr>
                <w:rFonts w:ascii="Arial Narrow" w:hAnsi="Arial Narrow"/>
                <w:b/>
                <w:bCs/>
                <w:kern w:val="0"/>
                <w:sz w:val="18"/>
                <w:szCs w:val="18"/>
                <w:lang w:bidi="ar-SA"/>
              </w:rPr>
              <w:t>Jiný typ zajištění prostřední ve výtahové šachtě:</w:t>
            </w:r>
          </w:p>
        </w:tc>
        <w:tc>
          <w:tcPr>
            <w:tcW w:w="7515" w:type="dxa"/>
            <w:tcBorders>
              <w:top w:val="dotted" w:sz="4" w:space="0" w:color="000000"/>
            </w:tcBorders>
            <w:vAlign w:val="center"/>
          </w:tcPr>
          <w:p>
            <w:pPr>
              <w:pStyle w:val="Normal"/>
              <w:widowControl w:val="false"/>
              <w:suppressAutoHyphens w:val="true"/>
              <w:spacing w:before="0" w:after="120"/>
              <w:ind w:right="-108" w:hanging="0"/>
              <w:jc w:val="left"/>
              <w:rPr>
                <w:rFonts w:ascii="Arial Narrow" w:hAnsi="Arial Narrow" w:cs="Arial"/>
                <w:bCs/>
                <w:sz w:val="30"/>
                <w:szCs w:val="30"/>
              </w:rPr>
            </w:pPr>
            <w:r>
              <w:rPr>
                <w:rFonts w:ascii="Arial Narrow" w:hAnsi="Arial Narrow"/>
                <w:bCs/>
                <w:kern w:val="0"/>
                <w:sz w:val="18"/>
                <w:szCs w:val="18"/>
                <w:lang w:bidi="ar-SA"/>
              </w:rPr>
              <w:t>NE</w:t>
            </w:r>
          </w:p>
        </w:tc>
      </w:tr>
      <w:tr>
        <w:trPr>
          <w:tblHeader w:val="true"/>
          <w:trHeight w:val="851" w:hRule="atLeast"/>
        </w:trPr>
        <w:tc>
          <w:tcPr>
            <w:tcW w:w="10342" w:type="dxa"/>
            <w:gridSpan w:val="2"/>
            <w:tcBorders/>
            <w:shd w:color="auto" w:fill="F2F2F2" w:themeFill="background1" w:themeFillShade="f2" w:val="clear"/>
            <w:vAlign w:val="center"/>
          </w:tcPr>
          <w:p>
            <w:pPr>
              <w:pStyle w:val="Normal"/>
              <w:widowControl w:val="false"/>
              <w:suppressAutoHyphens w:val="true"/>
              <w:spacing w:before="0" w:after="120"/>
              <w:ind w:right="-108" w:hanging="0"/>
              <w:jc w:val="left"/>
              <w:rPr>
                <w:rFonts w:ascii="Arial Narrow" w:hAnsi="Arial Narrow" w:cs="Arial"/>
                <w:bCs/>
                <w:sz w:val="18"/>
                <w:szCs w:val="18"/>
              </w:rPr>
            </w:pPr>
            <w:r>
              <w:rPr>
                <w:rFonts w:cs="Arial" w:ascii="Arial Narrow" w:hAnsi="Arial Narrow"/>
                <w:b/>
                <w:color w:val="FF0000"/>
                <w:kern w:val="0"/>
                <w:sz w:val="18"/>
                <w:szCs w:val="18"/>
                <w:u w:val="single"/>
                <w:lang w:bidi="ar-SA"/>
              </w:rPr>
              <w:t xml:space="preserve">Poznámka </w:t>
            </w:r>
            <w:r>
              <w:rPr>
                <w:rFonts w:cs="Arial" w:ascii="Arial Narrow" w:hAnsi="Arial Narrow"/>
                <w:bCs/>
                <w:kern w:val="0"/>
                <w:sz w:val="18"/>
                <w:szCs w:val="18"/>
                <w:lang w:bidi="ar-SA"/>
              </w:rPr>
              <w:t>: Elektrický přívod 1x 230 V pro elektrický přímotop vč. elektro revize zajistí Objednatel. Elektro přívod bude dotažen do vzdálenosti cca 1 metru od elektrického přímotopu instalovaného v prohlubni výtahové šachty, kde Objednatel tento elektro přívod ukončí zásuvkou 1x 230 V. Podrobnosti ke zřízení tohoto elektro přívodu viz. Příloha E1, kterou Zhotovitel Objednateli předá „na vyžádání“.</w:t>
            </w:r>
          </w:p>
        </w:tc>
      </w:tr>
    </w:tbl>
    <w:p>
      <w:pPr>
        <w:pStyle w:val="Normal"/>
        <w:spacing w:lineRule="auto" w:line="240" w:before="0" w:after="0"/>
        <w:rPr>
          <w:rFonts w:cs="Arial"/>
          <w:color w:val="041E42"/>
          <w:sz w:val="18"/>
          <w:szCs w:val="18"/>
          <w:lang w:val="fr-FR"/>
        </w:rPr>
      </w:pPr>
      <w:r>
        <w:rPr/>
      </w:r>
    </w:p>
    <w:sectPr>
      <w:headerReference w:type="default" r:id="rId3"/>
      <w:headerReference w:type="first" r:id="rId4"/>
      <w:footerReference w:type="default" r:id="rId5"/>
      <w:footerReference w:type="first" r:id="rId6"/>
      <w:type w:val="nextPage"/>
      <w:pgSz w:w="12240" w:h="15840"/>
      <w:pgMar w:left="1701" w:right="1134" w:gutter="0" w:header="567" w:top="1418" w:footer="567"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Calibri Light">
    <w:charset w:val="ee"/>
    <w:family w:val="roman"/>
    <w:pitch w:val="variable"/>
  </w:font>
  <w:font w:name="Times New Roman">
    <w:charset w:val="ee"/>
    <w:family w:val="roman"/>
    <w:pitch w:val="variable"/>
  </w:font>
  <w:font w:name="CG Omega">
    <w:charset w:val="ee"/>
    <w:family w:val="roman"/>
    <w:pitch w:val="variable"/>
  </w:font>
  <w:font w:name="Tahoma">
    <w:charset w:val="ee"/>
    <w:family w:val="roman"/>
    <w:pitch w:val="variable"/>
  </w:font>
  <w:font w:name="Century Gothic">
    <w:charset w:val="ee"/>
    <w:family w:val="roman"/>
    <w:pitch w:val="variable"/>
  </w:font>
  <w:font w:name="Georgia">
    <w:charset w:val="ee"/>
    <w:family w:val="roman"/>
    <w:pitch w:val="variable"/>
  </w:font>
  <w:font w:name="Timpani">
    <w:charset w:val="ee"/>
    <w:family w:val="roman"/>
    <w:pitch w:val="variable"/>
  </w:font>
  <w:font w:name="EurostileEE">
    <w:charset w:val="ee"/>
    <w:family w:val="roman"/>
    <w:pitch w:val="variable"/>
  </w:font>
  <w:font w:name="HelveticaNarrowE">
    <w:charset w:val="ee"/>
    <w:family w:val="roman"/>
    <w:pitch w:val="variable"/>
  </w:font>
  <w:font w:name="Arial Narrow">
    <w:charset w:val="ee"/>
    <w:family w:val="roman"/>
    <w:pitch w:val="variable"/>
  </w:font>
  <w:font w:name="Century Gothic">
    <w:charset w:val="01"/>
    <w:family w:val="swiss"/>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Style w:val="Mkatabulky"/>
      <w:tblW w:w="9498" w:type="dxa"/>
      <w:jc w:val="left"/>
      <w:tblInd w:w="0" w:type="dxa"/>
      <w:tblLayout w:type="fixed"/>
      <w:tblCellMar>
        <w:top w:w="85" w:type="dxa"/>
        <w:left w:w="0" w:type="dxa"/>
        <w:bottom w:w="0" w:type="dxa"/>
        <w:right w:w="0" w:type="dxa"/>
      </w:tblCellMar>
      <w:tblLook w:firstRow="1" w:noVBand="1" w:lastRow="0" w:firstColumn="1" w:lastColumn="0" w:noHBand="0" w:val="04a0"/>
    </w:tblPr>
    <w:tblGrid>
      <w:gridCol w:w="8644"/>
      <w:gridCol w:w="853"/>
    </w:tblGrid>
    <w:tr>
      <w:trPr/>
      <w:tc>
        <w:tcPr>
          <w:tcW w:w="8644" w:type="dxa"/>
          <w:tcBorders>
            <w:top w:val="single" w:sz="2" w:space="0" w:color="041E42"/>
            <w:left w:val="nil"/>
            <w:bottom w:val="nil"/>
            <w:right w:val="nil"/>
          </w:tcBorders>
        </w:tcPr>
        <w:p>
          <w:pPr>
            <w:pStyle w:val="TdPageNr"/>
            <w:widowControl w:val="false"/>
            <w:suppressAutoHyphens w:val="true"/>
            <w:spacing w:before="0" w:after="120"/>
            <w:jc w:val="left"/>
            <w:rPr>
              <w:rFonts w:ascii="Century Gothic" w:hAnsi="Century Gothic"/>
              <w:i/>
              <w:i/>
              <w:iCs/>
              <w:sz w:val="18"/>
              <w:szCs w:val="18"/>
            </w:rPr>
          </w:pPr>
          <w:r>
            <w:rPr>
              <w:rFonts w:ascii="Century Gothic" w:hAnsi="Century Gothic"/>
              <w:i/>
              <w:iCs/>
              <w:sz w:val="18"/>
              <w:szCs w:val="18"/>
            </w:rPr>
          </w:r>
        </w:p>
      </w:tc>
      <w:tc>
        <w:tcPr>
          <w:tcW w:w="853" w:type="dxa"/>
          <w:tcBorders>
            <w:top w:val="single" w:sz="2" w:space="0" w:color="041E42"/>
            <w:left w:val="nil"/>
            <w:bottom w:val="nil"/>
            <w:right w:val="nil"/>
          </w:tcBorders>
        </w:tcPr>
        <w:p>
          <w:pPr>
            <w:pStyle w:val="TdPageNr"/>
            <w:widowControl w:val="false"/>
            <w:suppressAutoHyphens w:val="true"/>
            <w:spacing w:before="0" w:after="120"/>
            <w:jc w:val="right"/>
            <w:rPr>
              <w:kern w:val="0"/>
              <w:lang w:bidi="ar-SA"/>
            </w:rPr>
          </w:pPr>
          <w:r>
            <w:rPr>
              <w:kern w:val="0"/>
              <w:lang w:bidi="ar-SA"/>
            </w:rPr>
            <w:fldChar w:fldCharType="begin"/>
          </w:r>
          <w:r>
            <w:rPr>
              <w:kern w:val="0"/>
              <w:lang w:bidi="ar-SA"/>
            </w:rPr>
            <w:instrText xml:space="preserve"> PAGE </w:instrText>
          </w:r>
          <w:r>
            <w:rPr>
              <w:kern w:val="0"/>
              <w:lang w:bidi="ar-SA"/>
            </w:rPr>
            <w:fldChar w:fldCharType="separate"/>
          </w:r>
          <w:r>
            <w:rPr>
              <w:kern w:val="0"/>
              <w:lang w:bidi="ar-SA"/>
            </w:rPr>
            <w:t>9</w:t>
          </w:r>
          <w:r>
            <w:rPr>
              <w:kern w:val="0"/>
              <w:lang w:bidi="ar-SA"/>
            </w:rPr>
            <w:fldChar w:fldCharType="end"/>
          </w:r>
        </w:p>
      </w:tc>
    </w:tr>
  </w:tbl>
  <w:p>
    <w:pPr>
      <w:pStyle w:val="TdPageNr"/>
      <w:spacing w:before="0" w:after="120"/>
      <w:jc w:val="right"/>
      <w:rPr>
        <w:sz w:val="16"/>
        <w:szCs w:val="16"/>
      </w:rPr>
    </w:pPr>
    <w:r>
      <w:rPr>
        <w:sz w:val="16"/>
        <w:szCs w:val="16"/>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spacing w:before="0" w:after="120"/>
      <w:rPr>
        <w:rFonts w:ascii="Century Gothic" w:hAnsi="Century Gothic"/>
        <w:sz w:val="16"/>
        <w:szCs w:val="16"/>
        <w:lang w:val="en-GB"/>
      </w:rPr>
    </w:pPr>
    <w:r>
      <w:rPr>
        <w:rFonts w:ascii="Century Gothic" w:hAnsi="Century Gothic"/>
        <w:sz w:val="16"/>
        <w:szCs w:val="16"/>
        <w:lang w:val="en-GB"/>
      </w:rPr>
      <w:tab/>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spacing w:before="0" w:after="120"/>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spacing w:before="0" w:after="120"/>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30"/>
      <w:numFmt w:val="bullet"/>
      <w:lvlText w:val="-"/>
      <w:lvlJc w:val="left"/>
      <w:pPr>
        <w:tabs>
          <w:tab w:val="num" w:pos="0"/>
        </w:tabs>
        <w:ind w:left="644" w:hanging="360"/>
      </w:pPr>
      <w:rPr>
        <w:rFonts w:ascii="Century Gothic" w:hAnsi="Century Gothic" w:cs="Century Gothic"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4">
    <w:lvl w:ilvl="0">
      <w:start w:val="1"/>
      <w:numFmt w:val="bullet"/>
      <w:lvlText w:val="•"/>
      <w:lvlJc w:val="left"/>
      <w:pPr>
        <w:tabs>
          <w:tab w:val="num" w:pos="0"/>
        </w:tabs>
        <w:ind w:left="644" w:hanging="360"/>
      </w:pPr>
      <w:rPr>
        <w:rFonts w:ascii="Century Gothic" w:hAnsi="Century Gothic" w:cs="Century Gothic" w:hint="default"/>
        <w:color w:val="F65275"/>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5">
    <w:lvl w:ilvl="0">
      <w:start w:val="1"/>
      <w:numFmt w:val="bullet"/>
      <w:lvlText w:val="•"/>
      <w:lvlJc w:val="left"/>
      <w:pPr>
        <w:tabs>
          <w:tab w:val="num" w:pos="0"/>
        </w:tabs>
        <w:ind w:left="644" w:hanging="360"/>
      </w:pPr>
      <w:rPr>
        <w:rFonts w:ascii="Century Gothic" w:hAnsi="Century Gothic" w:cs="Century Gothic" w:hint="default"/>
        <w:color w:val="F65275"/>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6">
    <w:lvl w:ilvl="0">
      <w:start w:val="30"/>
      <w:numFmt w:val="bullet"/>
      <w:lvlText w:val="-"/>
      <w:lvlJc w:val="left"/>
      <w:pPr>
        <w:tabs>
          <w:tab w:val="num" w:pos="0"/>
        </w:tabs>
        <w:ind w:left="360" w:hanging="360"/>
      </w:pPr>
      <w:rPr>
        <w:rFonts w:ascii="Century Gothic" w:hAnsi="Century Gothic" w:cs="Century Gothic"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color w:val="F65275"/>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mirrorMargi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ne-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Mang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34eb"/>
    <w:pPr>
      <w:widowControl/>
      <w:suppressAutoHyphens w:val="true"/>
      <w:bidi w:val="0"/>
      <w:spacing w:lineRule="auto" w:line="360" w:before="0" w:after="120"/>
      <w:jc w:val="left"/>
    </w:pPr>
    <w:rPr>
      <w:rFonts w:ascii="Arial" w:hAnsi="Arial" w:eastAsia="Times New Roman" w:cs="Times New Roman"/>
      <w:color w:val="auto"/>
      <w:kern w:val="0"/>
      <w:sz w:val="24"/>
      <w:szCs w:val="24"/>
      <w:lang w:val="cs-CZ" w:eastAsia="cs-CZ" w:bidi="ar-SA"/>
    </w:rPr>
  </w:style>
  <w:style w:type="paragraph" w:styleId="Nadpis1">
    <w:name w:val="Heading 1"/>
    <w:basedOn w:val="Normal"/>
    <w:next w:val="Normal"/>
    <w:link w:val="Nadpis1Char"/>
    <w:uiPriority w:val="99"/>
    <w:qFormat/>
    <w:rsid w:val="0072280c"/>
    <w:pPr>
      <w:keepNext w:val="true"/>
      <w:jc w:val="center"/>
      <w:outlineLvl w:val="0"/>
    </w:pPr>
    <w:rPr>
      <w:rFonts w:cs="Arial"/>
      <w:b/>
      <w:bCs/>
      <w:sz w:val="28"/>
    </w:rPr>
  </w:style>
  <w:style w:type="paragraph" w:styleId="Nadpis2">
    <w:name w:val="Heading 2"/>
    <w:basedOn w:val="Normal"/>
    <w:next w:val="Normal"/>
    <w:link w:val="Nadpis2Char"/>
    <w:uiPriority w:val="9"/>
    <w:semiHidden/>
    <w:unhideWhenUsed/>
    <w:qFormat/>
    <w:rsid w:val="002f6126"/>
    <w:pPr>
      <w:keepNext w:val="true"/>
      <w:keepLines/>
      <w:spacing w:before="200" w:after="120"/>
      <w:outlineLvl w:val="1"/>
    </w:pPr>
    <w:rPr>
      <w:rFonts w:ascii="Calibri Light" w:hAnsi="Calibri Light" w:eastAsia="" w:cs="Mangal" w:asciiTheme="majorHAnsi" w:cstheme="majorBidi" w:eastAsiaTheme="majorEastAsia" w:hAnsiTheme="majorHAnsi"/>
      <w:b/>
      <w:bCs/>
      <w:color w:val="5B9BD5" w:themeColor="accent1"/>
      <w:sz w:val="26"/>
      <w:szCs w:val="26"/>
    </w:rPr>
  </w:style>
  <w:style w:type="paragraph" w:styleId="Nadpis3">
    <w:name w:val="Heading 3"/>
    <w:basedOn w:val="Normal"/>
    <w:next w:val="Normal"/>
    <w:link w:val="Nadpis3Char"/>
    <w:uiPriority w:val="9"/>
    <w:semiHidden/>
    <w:unhideWhenUsed/>
    <w:qFormat/>
    <w:rsid w:val="002f6126"/>
    <w:pPr>
      <w:keepNext w:val="true"/>
      <w:keepLines/>
      <w:spacing w:before="200" w:after="120"/>
      <w:outlineLvl w:val="2"/>
    </w:pPr>
    <w:rPr>
      <w:rFonts w:ascii="Calibri Light" w:hAnsi="Calibri Light" w:eastAsia="" w:cs="Mangal" w:asciiTheme="majorHAnsi" w:cstheme="majorBidi" w:eastAsiaTheme="majorEastAsia" w:hAnsiTheme="majorHAnsi"/>
      <w:b/>
      <w:bCs/>
      <w:color w:val="5B9BD5" w:themeColor="accent1"/>
    </w:rPr>
  </w:style>
  <w:style w:type="paragraph" w:styleId="Nadpis4">
    <w:name w:val="Heading 4"/>
    <w:basedOn w:val="Normal"/>
    <w:next w:val="Normal"/>
    <w:link w:val="Nadpis4Char"/>
    <w:uiPriority w:val="99"/>
    <w:unhideWhenUsed/>
    <w:qFormat/>
    <w:rsid w:val="00e50fc7"/>
    <w:pPr>
      <w:keepNext w:val="true"/>
      <w:spacing w:before="240" w:after="60"/>
      <w:outlineLvl w:val="3"/>
    </w:pPr>
    <w:rPr>
      <w:b/>
      <w:bCs/>
      <w:sz w:val="28"/>
      <w:szCs w:val="28"/>
    </w:rPr>
  </w:style>
  <w:style w:type="paragraph" w:styleId="Nadpis5">
    <w:name w:val="Heading 5"/>
    <w:basedOn w:val="Normal"/>
    <w:next w:val="Normal"/>
    <w:link w:val="Nadpis5Char"/>
    <w:uiPriority w:val="99"/>
    <w:unhideWhenUsed/>
    <w:qFormat/>
    <w:rsid w:val="00e50fc7"/>
    <w:pPr>
      <w:spacing w:before="240" w:after="60"/>
      <w:outlineLvl w:val="4"/>
    </w:pPr>
    <w:rPr>
      <w:b/>
      <w:bCs/>
      <w:i/>
      <w:iCs/>
      <w:sz w:val="26"/>
      <w:szCs w:val="26"/>
    </w:rPr>
  </w:style>
  <w:style w:type="paragraph" w:styleId="Nadpis6">
    <w:name w:val="Heading 6"/>
    <w:basedOn w:val="Normal"/>
    <w:next w:val="Normal"/>
    <w:link w:val="Nadpis6Char"/>
    <w:uiPriority w:val="9"/>
    <w:semiHidden/>
    <w:unhideWhenUsed/>
    <w:qFormat/>
    <w:rsid w:val="00e50fc7"/>
    <w:pPr>
      <w:spacing w:before="240" w:after="60"/>
      <w:outlineLvl w:val="5"/>
    </w:pPr>
    <w:rPr>
      <w:b/>
      <w:bCs/>
      <w:sz w:val="22"/>
      <w:szCs w:val="22"/>
    </w:rPr>
  </w:style>
  <w:style w:type="paragraph" w:styleId="Nadpis7">
    <w:name w:val="Heading 7"/>
    <w:basedOn w:val="Normal"/>
    <w:next w:val="Normal"/>
    <w:link w:val="Nadpis7Char"/>
    <w:uiPriority w:val="99"/>
    <w:unhideWhenUsed/>
    <w:qFormat/>
    <w:rsid w:val="00e50fc7"/>
    <w:pPr>
      <w:spacing w:before="240" w:after="60"/>
      <w:outlineLvl w:val="6"/>
    </w:pPr>
    <w:rPr/>
  </w:style>
  <w:style w:type="paragraph" w:styleId="Nadpis8">
    <w:name w:val="Heading 8"/>
    <w:basedOn w:val="Normal"/>
    <w:next w:val="Normal"/>
    <w:link w:val="Nadpis8Char"/>
    <w:uiPriority w:val="9"/>
    <w:semiHidden/>
    <w:unhideWhenUsed/>
    <w:qFormat/>
    <w:rsid w:val="00e50fc7"/>
    <w:pPr>
      <w:spacing w:before="240" w:after="60"/>
      <w:outlineLvl w:val="7"/>
    </w:pPr>
    <w:rPr>
      <w:i/>
      <w:iCs/>
    </w:rPr>
  </w:style>
  <w:style w:type="paragraph" w:styleId="Nadpis9">
    <w:name w:val="Heading 9"/>
    <w:basedOn w:val="Normal"/>
    <w:next w:val="Normal"/>
    <w:link w:val="Nadpis9Char"/>
    <w:uiPriority w:val="9"/>
    <w:semiHidden/>
    <w:unhideWhenUsed/>
    <w:qFormat/>
    <w:rsid w:val="00e50fc7"/>
    <w:pPr>
      <w:spacing w:before="240" w:after="60"/>
      <w:outlineLvl w:val="8"/>
    </w:pPr>
    <w:rPr>
      <w:rFonts w:eastAsia="" w:eastAsiaTheme="majorEastAsia"/>
      <w:sz w:val="22"/>
      <w:szCs w:val="22"/>
    </w:rPr>
  </w:style>
  <w:style w:type="character" w:styleId="DefaultParagraphFont" w:default="1">
    <w:name w:val="Default Paragraph Font"/>
    <w:uiPriority w:val="1"/>
    <w:semiHidden/>
    <w:unhideWhenUsed/>
    <w:qFormat/>
    <w:rPr/>
  </w:style>
  <w:style w:type="character" w:styleId="ZhlavChar" w:customStyle="1">
    <w:name w:val="Záhlaví Char"/>
    <w:basedOn w:val="DefaultParagraphFont"/>
    <w:uiPriority w:val="99"/>
    <w:qFormat/>
    <w:rsid w:val="0072280c"/>
    <w:rPr>
      <w:rFonts w:ascii="Times New Roman" w:hAnsi="Times New Roman" w:eastAsia="Times New Roman" w:cs="Times New Roman"/>
      <w:sz w:val="24"/>
      <w:szCs w:val="24"/>
      <w:lang w:val="cs-CZ" w:eastAsia="cs-CZ"/>
    </w:rPr>
  </w:style>
  <w:style w:type="character" w:styleId="ZkladntextChar" w:customStyle="1">
    <w:name w:val="Základní text Char"/>
    <w:basedOn w:val="DefaultParagraphFont"/>
    <w:uiPriority w:val="99"/>
    <w:qFormat/>
    <w:rsid w:val="0072280c"/>
    <w:rPr>
      <w:rFonts w:ascii="CG Omega" w:hAnsi="CG Omega" w:eastAsia="Times New Roman" w:cs="Times New Roman"/>
      <w:sz w:val="24"/>
      <w:szCs w:val="20"/>
    </w:rPr>
  </w:style>
  <w:style w:type="character" w:styleId="Internetovodkaz">
    <w:name w:val="Hyperlink"/>
    <w:basedOn w:val="DefaultParagraphFont"/>
    <w:uiPriority w:val="99"/>
    <w:rsid w:val="0072280c"/>
    <w:rPr>
      <w:rFonts w:cs="Times New Roman"/>
      <w:color w:val="0000FF"/>
      <w:u w:val="single"/>
    </w:rPr>
  </w:style>
  <w:style w:type="character" w:styleId="ZpatChar" w:customStyle="1">
    <w:name w:val="Zápatí Char"/>
    <w:basedOn w:val="DefaultParagraphFont"/>
    <w:uiPriority w:val="99"/>
    <w:qFormat/>
    <w:rsid w:val="0072280c"/>
    <w:rPr>
      <w:rFonts w:ascii="Times New Roman" w:hAnsi="Times New Roman" w:eastAsia="Times New Roman" w:cs="Times New Roman"/>
      <w:sz w:val="24"/>
      <w:szCs w:val="24"/>
      <w:lang w:val="cs-CZ" w:eastAsia="cs-CZ"/>
    </w:rPr>
  </w:style>
  <w:style w:type="character" w:styleId="Heading1Char" w:customStyle="1">
    <w:name w:val="Heading 1 Char"/>
    <w:basedOn w:val="DefaultParagraphFont"/>
    <w:uiPriority w:val="9"/>
    <w:qFormat/>
    <w:rsid w:val="0072280c"/>
    <w:rPr>
      <w:rFonts w:ascii="Calibri Light" w:hAnsi="Calibri Light" w:eastAsia="" w:cs="Mangal" w:asciiTheme="majorHAnsi" w:cstheme="majorBidi" w:eastAsiaTheme="majorEastAsia" w:hAnsiTheme="majorHAnsi"/>
      <w:color w:val="2E74B5" w:themeColor="accent1" w:themeShade="bf"/>
      <w:sz w:val="32"/>
      <w:szCs w:val="32"/>
      <w:lang w:val="cs-CZ" w:eastAsia="cs-CZ"/>
    </w:rPr>
  </w:style>
  <w:style w:type="character" w:styleId="Nadpis1Char" w:customStyle="1">
    <w:name w:val="Nadpis 1 Char"/>
    <w:basedOn w:val="DefaultParagraphFont"/>
    <w:uiPriority w:val="99"/>
    <w:qFormat/>
    <w:locked/>
    <w:rsid w:val="0072280c"/>
    <w:rPr>
      <w:rFonts w:ascii="Arial" w:hAnsi="Arial" w:eastAsia="Times New Roman" w:cs="Arial"/>
      <w:b/>
      <w:bCs/>
      <w:sz w:val="28"/>
      <w:szCs w:val="24"/>
      <w:lang w:val="cs-CZ" w:eastAsia="cs-CZ"/>
    </w:rPr>
  </w:style>
  <w:style w:type="character" w:styleId="TextkomenteChar" w:customStyle="1">
    <w:name w:val="Text komentáře Char"/>
    <w:basedOn w:val="DefaultParagraphFont"/>
    <w:link w:val="Annotationtext"/>
    <w:uiPriority w:val="99"/>
    <w:qFormat/>
    <w:rsid w:val="0072280c"/>
    <w:rPr>
      <w:rFonts w:ascii="Times New Roman" w:hAnsi="Times New Roman" w:eastAsia="Times New Roman" w:cs="Times New Roman"/>
      <w:sz w:val="20"/>
      <w:szCs w:val="20"/>
      <w:lang w:val="cs-CZ" w:eastAsia="cs-CZ"/>
    </w:rPr>
  </w:style>
  <w:style w:type="character" w:styleId="ZkladntextodsazenChar" w:customStyle="1">
    <w:name w:val="Základní text odsazený Char"/>
    <w:basedOn w:val="DefaultParagraphFont"/>
    <w:uiPriority w:val="99"/>
    <w:semiHidden/>
    <w:qFormat/>
    <w:rsid w:val="00ea6e5e"/>
    <w:rPr>
      <w:rFonts w:ascii="Times New Roman" w:hAnsi="Times New Roman" w:eastAsia="Times New Roman" w:cs="Times New Roman"/>
      <w:sz w:val="24"/>
      <w:szCs w:val="24"/>
      <w:lang w:val="cs-CZ" w:eastAsia="cs-CZ"/>
    </w:rPr>
  </w:style>
  <w:style w:type="character" w:styleId="Pagenumber">
    <w:name w:val="page number"/>
    <w:basedOn w:val="DefaultParagraphFont"/>
    <w:uiPriority w:val="99"/>
    <w:qFormat/>
    <w:rsid w:val="00ea6e5e"/>
    <w:rPr>
      <w:rFonts w:cs="Times New Roman"/>
    </w:rPr>
  </w:style>
  <w:style w:type="character" w:styleId="TextbublinyChar" w:customStyle="1">
    <w:name w:val="Text bubliny Char"/>
    <w:basedOn w:val="DefaultParagraphFont"/>
    <w:link w:val="BalloonText"/>
    <w:uiPriority w:val="99"/>
    <w:semiHidden/>
    <w:qFormat/>
    <w:rsid w:val="00462d74"/>
    <w:rPr>
      <w:rFonts w:ascii="Tahoma" w:hAnsi="Tahoma" w:eastAsia="Times New Roman" w:cs="Tahoma"/>
      <w:sz w:val="16"/>
      <w:szCs w:val="16"/>
      <w:lang w:val="cs-CZ" w:eastAsia="cs-CZ"/>
    </w:rPr>
  </w:style>
  <w:style w:type="character" w:styleId="Nadpis2Char" w:customStyle="1">
    <w:name w:val="Nadpis 2 Char"/>
    <w:basedOn w:val="DefaultParagraphFont"/>
    <w:uiPriority w:val="9"/>
    <w:semiHidden/>
    <w:qFormat/>
    <w:rsid w:val="002f6126"/>
    <w:rPr>
      <w:rFonts w:ascii="Calibri Light" w:hAnsi="Calibri Light" w:eastAsia="" w:cs="Mangal" w:asciiTheme="majorHAnsi" w:cstheme="majorBidi" w:eastAsiaTheme="majorEastAsia" w:hAnsiTheme="majorHAnsi"/>
      <w:b/>
      <w:bCs/>
      <w:color w:val="5B9BD5" w:themeColor="accent1"/>
      <w:sz w:val="26"/>
      <w:szCs w:val="26"/>
      <w:lang w:val="cs-CZ" w:eastAsia="cs-CZ"/>
    </w:rPr>
  </w:style>
  <w:style w:type="character" w:styleId="OdstavecseseznamemChar" w:customStyle="1">
    <w:name w:val="Odstavec se seznamem Char"/>
    <w:basedOn w:val="DefaultParagraphFont"/>
    <w:link w:val="ListParagraph"/>
    <w:uiPriority w:val="34"/>
    <w:qFormat/>
    <w:rsid w:val="002f6126"/>
    <w:rPr>
      <w:rFonts w:ascii="Times New Roman" w:hAnsi="Times New Roman" w:eastAsia="Times New Roman" w:cs="Times New Roman"/>
      <w:sz w:val="24"/>
      <w:szCs w:val="24"/>
      <w:lang w:val="cs-CZ" w:eastAsia="cs-CZ"/>
    </w:rPr>
  </w:style>
  <w:style w:type="character" w:styleId="TenderHeaderChar" w:customStyle="1">
    <w:name w:val="TenderHeader Char"/>
    <w:basedOn w:val="OdstavecseseznamemChar"/>
    <w:link w:val="TenderHeader"/>
    <w:qFormat/>
    <w:rsid w:val="002f6126"/>
    <w:rPr>
      <w:rFonts w:ascii="Arial" w:hAnsi="Arial" w:eastAsia="Times New Roman" w:cs="Arial"/>
      <w:color w:val="2E74B5" w:themeColor="accent1" w:themeShade="bf"/>
      <w:sz w:val="28"/>
      <w:szCs w:val="28"/>
      <w:lang w:val="cs-CZ" w:eastAsia="cs-CZ"/>
    </w:rPr>
  </w:style>
  <w:style w:type="character" w:styleId="Nadpis3Char" w:customStyle="1">
    <w:name w:val="Nadpis 3 Char"/>
    <w:basedOn w:val="DefaultParagraphFont"/>
    <w:uiPriority w:val="9"/>
    <w:semiHidden/>
    <w:qFormat/>
    <w:rsid w:val="002f6126"/>
    <w:rPr>
      <w:rFonts w:ascii="Calibri Light" w:hAnsi="Calibri Light" w:eastAsia="" w:cs="Mangal" w:asciiTheme="majorHAnsi" w:cstheme="majorBidi" w:eastAsiaTheme="majorEastAsia" w:hAnsiTheme="majorHAnsi"/>
      <w:b/>
      <w:bCs/>
      <w:color w:val="5B9BD5" w:themeColor="accent1"/>
      <w:sz w:val="24"/>
      <w:szCs w:val="24"/>
      <w:lang w:val="cs-CZ" w:eastAsia="cs-CZ"/>
    </w:rPr>
  </w:style>
  <w:style w:type="character" w:styleId="Strong">
    <w:name w:val="Strong"/>
    <w:uiPriority w:val="22"/>
    <w:qFormat/>
    <w:rsid w:val="00a818d7"/>
    <w:rPr>
      <w:rFonts w:cs="Times New Roman"/>
      <w:b/>
      <w:bCs/>
    </w:rPr>
  </w:style>
  <w:style w:type="character" w:styleId="TdTitleChar" w:customStyle="1">
    <w:name w:val="TdTitle Char"/>
    <w:basedOn w:val="ZhlavChar"/>
    <w:link w:val="TdTitle"/>
    <w:qFormat/>
    <w:rsid w:val="00ee12cd"/>
    <w:rPr>
      <w:rFonts w:ascii="Times New Roman" w:hAnsi="Times New Roman" w:eastAsia="Times New Roman" w:cs="Arial"/>
      <w:b/>
      <w:color w:val="041E42"/>
      <w:sz w:val="52"/>
      <w:szCs w:val="52"/>
      <w:lang w:val="cs-CZ" w:eastAsia="cs-CZ"/>
    </w:rPr>
  </w:style>
  <w:style w:type="character" w:styleId="TdSubTitleChar" w:customStyle="1">
    <w:name w:val="TdSubTitle Char"/>
    <w:basedOn w:val="ZhlavChar"/>
    <w:link w:val="TdSubTitle"/>
    <w:qFormat/>
    <w:rsid w:val="003d1cf0"/>
    <w:rPr>
      <w:rFonts w:ascii="Century Gothic" w:hAnsi="Century Gothic" w:eastAsia="Times New Roman" w:cs="Arial"/>
      <w:color w:val="041E42"/>
      <w:sz w:val="32"/>
      <w:szCs w:val="48"/>
      <w:lang w:val="cs-CZ" w:eastAsia="cs-CZ"/>
    </w:rPr>
  </w:style>
  <w:style w:type="character" w:styleId="TdInfoBoldChar" w:customStyle="1">
    <w:name w:val="TdInfoBold Char"/>
    <w:basedOn w:val="TdSubTitleChar"/>
    <w:link w:val="TdInfoBold"/>
    <w:qFormat/>
    <w:rsid w:val="00e541b4"/>
    <w:rPr>
      <w:rFonts w:ascii="Century Gothic" w:hAnsi="Century Gothic" w:eastAsia="Times New Roman" w:cs="Arial"/>
      <w:b/>
      <w:color w:val="041E42"/>
      <w:sz w:val="32"/>
      <w:szCs w:val="48"/>
      <w:lang w:val="cs-CZ" w:eastAsia="cs-CZ"/>
    </w:rPr>
  </w:style>
  <w:style w:type="character" w:styleId="TdPageNrChar" w:customStyle="1">
    <w:name w:val="TdPageNr Char"/>
    <w:basedOn w:val="ZpatChar"/>
    <w:link w:val="TdPageNr"/>
    <w:qFormat/>
    <w:rsid w:val="00ae7ba8"/>
    <w:rPr>
      <w:rFonts w:ascii="Century Gothic" w:hAnsi="Century Gothic" w:eastAsia="Times New Roman" w:cs="Times New Roman"/>
      <w:color w:val="041E42"/>
      <w:sz w:val="20"/>
      <w:szCs w:val="24"/>
      <w:lang w:val="cs-CZ" w:eastAsia="cs-CZ"/>
    </w:rPr>
  </w:style>
  <w:style w:type="character" w:styleId="TdHeaderInfoChar" w:customStyle="1">
    <w:name w:val="TdHeaderInfo Char"/>
    <w:basedOn w:val="DefaultParagraphFont"/>
    <w:link w:val="TdHeaderInfo"/>
    <w:qFormat/>
    <w:rsid w:val="0026780c"/>
    <w:rPr>
      <w:rFonts w:ascii="Century Gothic" w:hAnsi="Century Gothic" w:eastAsia="Times New Roman" w:cs="Arial"/>
      <w:b/>
      <w:bCs/>
      <w:color w:val="041E42"/>
      <w:sz w:val="36"/>
      <w:szCs w:val="44"/>
      <w:lang w:val="cs-CZ" w:eastAsia="cs-CZ"/>
    </w:rPr>
  </w:style>
  <w:style w:type="character" w:styleId="TdHeaderRealTermChar" w:customStyle="1">
    <w:name w:val="TdHeaderRealTerm Char"/>
    <w:basedOn w:val="TdHeaderInfoChar"/>
    <w:link w:val="TdHeaderRealTerm"/>
    <w:qFormat/>
    <w:rsid w:val="00e416a2"/>
    <w:rPr>
      <w:rFonts w:ascii="Century Gothic" w:hAnsi="Century Gothic" w:eastAsia="Times New Roman" w:cs="Arial"/>
      <w:b/>
      <w:bCs/>
      <w:color w:val="041E42"/>
      <w:sz w:val="44"/>
      <w:szCs w:val="44"/>
      <w:lang w:val="cs-CZ" w:eastAsia="cs-CZ"/>
    </w:rPr>
  </w:style>
  <w:style w:type="character" w:styleId="TdContentLineChar" w:customStyle="1">
    <w:name w:val="TdContentLine Char"/>
    <w:basedOn w:val="TdInfoBoldChar"/>
    <w:link w:val="TdContentLine"/>
    <w:qFormat/>
    <w:rsid w:val="00b97e79"/>
    <w:rPr>
      <w:rFonts w:ascii="Century Gothic" w:hAnsi="Century Gothic" w:eastAsia="Times New Roman" w:cs="Arial"/>
      <w:b w:val="false"/>
      <w:color w:val="041E42"/>
      <w:sz w:val="28"/>
      <w:szCs w:val="48"/>
      <w:lang w:val="cs-CZ" w:eastAsia="cs-CZ"/>
    </w:rPr>
  </w:style>
  <w:style w:type="character" w:styleId="UnresolvedMention">
    <w:name w:val="Unresolved Mention"/>
    <w:basedOn w:val="DefaultParagraphFont"/>
    <w:uiPriority w:val="99"/>
    <w:semiHidden/>
    <w:unhideWhenUsed/>
    <w:qFormat/>
    <w:rsid w:val="00fc0b1a"/>
    <w:rPr>
      <w:color w:val="605E5C"/>
      <w:shd w:fill="E1DFDD" w:val="clear"/>
    </w:rPr>
  </w:style>
  <w:style w:type="character" w:styleId="TdSpaceChar" w:customStyle="1">
    <w:name w:val="TdSpace Char"/>
    <w:basedOn w:val="ZhlavChar"/>
    <w:link w:val="TdSpace"/>
    <w:qFormat/>
    <w:rsid w:val="004c5dc7"/>
    <w:rPr>
      <w:rFonts w:ascii="Century Gothic" w:hAnsi="Century Gothic" w:eastAsia="Times New Roman" w:cs="Arial"/>
      <w:color w:val="041E42"/>
      <w:sz w:val="16"/>
      <w:szCs w:val="16"/>
      <w:lang w:val="cs-CZ" w:eastAsia="cs-CZ"/>
    </w:rPr>
  </w:style>
  <w:style w:type="character" w:styleId="TdInfoChar" w:customStyle="1">
    <w:name w:val="TdInfo Char"/>
    <w:basedOn w:val="TdInfoBoldChar"/>
    <w:link w:val="TdInfo"/>
    <w:qFormat/>
    <w:rsid w:val="00e3613e"/>
    <w:rPr>
      <w:rFonts w:ascii="Century Gothic" w:hAnsi="Century Gothic" w:eastAsia="Times New Roman" w:cs="Arial"/>
      <w:b w:val="false"/>
      <w:bCs/>
      <w:color w:val="041E42"/>
      <w:sz w:val="36"/>
      <w:szCs w:val="48"/>
      <w:lang w:val="cs-CZ" w:eastAsia="cs-CZ"/>
    </w:rPr>
  </w:style>
  <w:style w:type="character" w:styleId="TdTableHeaderChar" w:customStyle="1">
    <w:name w:val="TdTableHeader Char"/>
    <w:basedOn w:val="DefaultParagraphFont"/>
    <w:link w:val="TdTableHeader"/>
    <w:qFormat/>
    <w:rsid w:val="007f33f1"/>
    <w:rPr>
      <w:rFonts w:ascii="Century Gothic" w:hAnsi="Century Gothic" w:eastAsia="Times New Roman" w:cs="Arial"/>
      <w:b/>
      <w:color w:val="FFFFFF" w:themeColor="background1"/>
      <w:sz w:val="24"/>
      <w:szCs w:val="24"/>
      <w:lang w:val="cs-CZ" w:eastAsia="cs-CZ"/>
    </w:rPr>
  </w:style>
  <w:style w:type="character" w:styleId="TdNormalChar" w:customStyle="1">
    <w:name w:val="TdNormal Char"/>
    <w:basedOn w:val="DefaultParagraphFont"/>
    <w:link w:val="TdNormal"/>
    <w:qFormat/>
    <w:rsid w:val="0073494e"/>
    <w:rPr>
      <w:rFonts w:ascii="Arial" w:hAnsi="Arial" w:eastAsia="Times New Roman" w:cs="Arial"/>
      <w:color w:val="041E42"/>
      <w:sz w:val="24"/>
      <w:szCs w:val="20"/>
      <w:lang w:val="cs-CZ" w:eastAsia="cs-CZ"/>
    </w:rPr>
  </w:style>
  <w:style w:type="character" w:styleId="Obsah1Char" w:customStyle="1">
    <w:name w:val="Obsah 1 Char"/>
    <w:basedOn w:val="DefaultParagraphFont"/>
    <w:uiPriority w:val="39"/>
    <w:qFormat/>
    <w:rsid w:val="004c5dc7"/>
    <w:rPr>
      <w:rFonts w:ascii="Century Gothic" w:hAnsi="Century Gothic" w:eastAsia="Times New Roman" w:cs="Times New Roman"/>
      <w:color w:val="042442"/>
      <w:sz w:val="36"/>
      <w:szCs w:val="24"/>
      <w:lang w:val="cs-CZ" w:eastAsia="cs-CZ"/>
    </w:rPr>
  </w:style>
  <w:style w:type="character" w:styleId="TdSmallChar" w:customStyle="1">
    <w:name w:val="TdSmall Char"/>
    <w:basedOn w:val="Obsah1Char"/>
    <w:link w:val="TdSmall"/>
    <w:qFormat/>
    <w:rsid w:val="004c5dc7"/>
    <w:rPr>
      <w:rFonts w:ascii="Century Gothic" w:hAnsi="Century Gothic" w:eastAsia="Times New Roman" w:cs="Times New Roman"/>
      <w:color w:val="041E42"/>
      <w:sz w:val="18"/>
      <w:szCs w:val="16"/>
      <w:lang w:val="cs-CZ" w:eastAsia="cs-CZ"/>
    </w:rPr>
  </w:style>
  <w:style w:type="character" w:styleId="TdMinChar" w:customStyle="1">
    <w:name w:val="TdMin Char"/>
    <w:basedOn w:val="DefaultParagraphFont"/>
    <w:link w:val="TdMin"/>
    <w:qFormat/>
    <w:rsid w:val="00e334eb"/>
    <w:rPr>
      <w:rFonts w:ascii="Century Gothic" w:hAnsi="Century Gothic" w:eastAsia="Times New Roman" w:cs="Times New Roman"/>
      <w:color w:val="041E42"/>
      <w:sz w:val="16"/>
      <w:szCs w:val="16"/>
      <w:lang w:val="cs-CZ" w:eastAsia="cs-CZ"/>
    </w:rPr>
  </w:style>
  <w:style w:type="character" w:styleId="Navtveninternetovodkaz">
    <w:name w:val="FollowedHyperlink"/>
    <w:basedOn w:val="DefaultParagraphFont"/>
    <w:uiPriority w:val="99"/>
    <w:semiHidden/>
    <w:unhideWhenUsed/>
    <w:rsid w:val="00b25297"/>
    <w:rPr>
      <w:color w:val="954F72" w:themeColor="followedHyperlink"/>
      <w:u w:val="single"/>
    </w:rPr>
  </w:style>
  <w:style w:type="character" w:styleId="FlietextChar" w:customStyle="1">
    <w:name w:val="Fließtext Char"/>
    <w:basedOn w:val="DefaultParagraphFont"/>
    <w:link w:val="Flietext"/>
    <w:uiPriority w:val="99"/>
    <w:qFormat/>
    <w:rsid w:val="00b7139d"/>
    <w:rPr>
      <w:rFonts w:ascii="Century Gothic" w:hAnsi="Century Gothic" w:eastAsia="Calibri" w:cs="Times New Roman"/>
      <w:color w:val="041E42"/>
      <w:sz w:val="19"/>
      <w:lang w:val="de-DE"/>
    </w:rPr>
  </w:style>
  <w:style w:type="character" w:styleId="KleinerTextZchn" w:customStyle="1">
    <w:name w:val="Kleiner Text Zchn"/>
    <w:basedOn w:val="FlietextChar"/>
    <w:link w:val="KleinerText"/>
    <w:uiPriority w:val="99"/>
    <w:qFormat/>
    <w:rsid w:val="00b51026"/>
    <w:rPr>
      <w:rFonts w:ascii="Century Gothic" w:hAnsi="Century Gothic" w:eastAsia="Calibri" w:cs="Times New Roman"/>
      <w:color w:val="041E42"/>
      <w:sz w:val="16"/>
      <w:szCs w:val="16"/>
      <w:lang w:val="de-DE"/>
    </w:rPr>
  </w:style>
  <w:style w:type="character" w:styleId="ListTableZchn" w:customStyle="1">
    <w:name w:val="List Table Zchn"/>
    <w:basedOn w:val="DefaultParagraphFont"/>
    <w:link w:val="ListTable"/>
    <w:uiPriority w:val="99"/>
    <w:qFormat/>
    <w:rsid w:val="00b51026"/>
    <w:rPr>
      <w:rFonts w:ascii="Century Gothic" w:hAnsi="Century Gothic" w:eastAsia="Calibri" w:cs="Times New Roman"/>
      <w:color w:val="041E42"/>
      <w:sz w:val="16"/>
      <w:szCs w:val="16"/>
      <w:lang w:val="de-DE"/>
    </w:rPr>
  </w:style>
  <w:style w:type="character" w:styleId="DanachohneZchn" w:customStyle="1">
    <w:name w:val="Ü danach ohne Zchn"/>
    <w:basedOn w:val="DefaultParagraphFont"/>
    <w:link w:val="Danachohne"/>
    <w:uiPriority w:val="99"/>
    <w:qFormat/>
    <w:rsid w:val="00b51026"/>
    <w:rPr>
      <w:rFonts w:ascii="Georgia" w:hAnsi="Georgia" w:eastAsia="等? Light" w:cs="Times New Roman"/>
      <w:b/>
      <w:color w:val="041E42"/>
      <w:sz w:val="28"/>
      <w:szCs w:val="60"/>
      <w:lang w:val="de-DE"/>
    </w:rPr>
  </w:style>
  <w:style w:type="character" w:styleId="DsNadpis2Char" w:customStyle="1">
    <w:name w:val="DsNadpis2 Char"/>
    <w:basedOn w:val="DefaultParagraphFont"/>
    <w:link w:val="DsNadpis2"/>
    <w:qFormat/>
    <w:rsid w:val="00656bc8"/>
    <w:rPr>
      <w:rFonts w:ascii="Calibri Light" w:hAnsi="Calibri Light" w:eastAsia="" w:cs="Times New Roman" w:asciiTheme="majorHAnsi" w:eastAsiaTheme="majorEastAsia" w:hAnsiTheme="majorHAnsi"/>
      <w:b/>
      <w:bCs/>
      <w:color w:val="041E42"/>
      <w:kern w:val="2"/>
      <w:sz w:val="28"/>
      <w:szCs w:val="28"/>
      <w:lang w:val="fr-FR"/>
    </w:rPr>
  </w:style>
  <w:style w:type="character" w:styleId="TdHeaderChar" w:customStyle="1">
    <w:name w:val="TdHeader Char"/>
    <w:basedOn w:val="DefaultParagraphFont"/>
    <w:link w:val="TdHeader"/>
    <w:qFormat/>
    <w:rsid w:val="00656bc8"/>
    <w:rPr>
      <w:rFonts w:ascii="Century Gothic" w:hAnsi="Century Gothic" w:eastAsia="Times New Roman" w:cs="Times New Roman"/>
      <w:b/>
      <w:bCs/>
      <w:color w:val="041E42"/>
      <w:sz w:val="36"/>
      <w:szCs w:val="36"/>
      <w:lang w:eastAsia="cs-CZ"/>
    </w:rPr>
  </w:style>
  <w:style w:type="character" w:styleId="A7" w:customStyle="1">
    <w:name w:val="A7"/>
    <w:uiPriority w:val="99"/>
    <w:qFormat/>
    <w:rsid w:val="00f2512a"/>
    <w:rPr>
      <w:color w:val="000000"/>
      <w:sz w:val="18"/>
    </w:rPr>
  </w:style>
  <w:style w:type="character" w:styleId="Nadpis4Char" w:customStyle="1">
    <w:name w:val="Nadpis 4 Char"/>
    <w:basedOn w:val="DefaultParagraphFont"/>
    <w:uiPriority w:val="99"/>
    <w:semiHidden/>
    <w:qFormat/>
    <w:rsid w:val="00e50fc7"/>
    <w:rPr>
      <w:b/>
      <w:bCs/>
      <w:sz w:val="28"/>
      <w:szCs w:val="28"/>
    </w:rPr>
  </w:style>
  <w:style w:type="character" w:styleId="Nadpis5Char" w:customStyle="1">
    <w:name w:val="Nadpis 5 Char"/>
    <w:basedOn w:val="DefaultParagraphFont"/>
    <w:uiPriority w:val="99"/>
    <w:semiHidden/>
    <w:qFormat/>
    <w:rsid w:val="00e50fc7"/>
    <w:rPr>
      <w:b/>
      <w:bCs/>
      <w:i/>
      <w:iCs/>
      <w:sz w:val="26"/>
      <w:szCs w:val="26"/>
    </w:rPr>
  </w:style>
  <w:style w:type="character" w:styleId="Nadpis6Char" w:customStyle="1">
    <w:name w:val="Nadpis 6 Char"/>
    <w:basedOn w:val="DefaultParagraphFont"/>
    <w:uiPriority w:val="9"/>
    <w:semiHidden/>
    <w:qFormat/>
    <w:rsid w:val="00e50fc7"/>
    <w:rPr>
      <w:b/>
      <w:bCs/>
    </w:rPr>
  </w:style>
  <w:style w:type="character" w:styleId="Nadpis7Char" w:customStyle="1">
    <w:name w:val="Nadpis 7 Char"/>
    <w:basedOn w:val="DefaultParagraphFont"/>
    <w:uiPriority w:val="99"/>
    <w:semiHidden/>
    <w:qFormat/>
    <w:rsid w:val="00e50fc7"/>
    <w:rPr>
      <w:sz w:val="24"/>
      <w:szCs w:val="24"/>
    </w:rPr>
  </w:style>
  <w:style w:type="character" w:styleId="Nadpis8Char" w:customStyle="1">
    <w:name w:val="Nadpis 8 Char"/>
    <w:basedOn w:val="DefaultParagraphFont"/>
    <w:uiPriority w:val="9"/>
    <w:semiHidden/>
    <w:qFormat/>
    <w:rsid w:val="00e50fc7"/>
    <w:rPr>
      <w:i/>
      <w:iCs/>
      <w:sz w:val="24"/>
      <w:szCs w:val="24"/>
    </w:rPr>
  </w:style>
  <w:style w:type="character" w:styleId="Nadpis9Char" w:customStyle="1">
    <w:name w:val="Nadpis 9 Char"/>
    <w:basedOn w:val="DefaultParagraphFont"/>
    <w:uiPriority w:val="9"/>
    <w:semiHidden/>
    <w:qFormat/>
    <w:rsid w:val="00e50fc7"/>
    <w:rPr>
      <w:rFonts w:ascii="Calibri Light" w:hAnsi="Calibri Light" w:eastAsia="" w:asciiTheme="majorHAnsi" w:eastAsiaTheme="majorEastAsia" w:hAnsiTheme="majorHAnsi"/>
    </w:rPr>
  </w:style>
  <w:style w:type="character" w:styleId="NzevChar" w:customStyle="1">
    <w:name w:val="Název Char"/>
    <w:basedOn w:val="DefaultParagraphFont"/>
    <w:uiPriority w:val="10"/>
    <w:qFormat/>
    <w:rsid w:val="00e50fc7"/>
    <w:rPr>
      <w:rFonts w:ascii="Calibri Light" w:hAnsi="Calibri Light" w:eastAsia="" w:asciiTheme="majorHAnsi" w:eastAsiaTheme="majorEastAsia" w:hAnsiTheme="majorHAnsi"/>
      <w:b/>
      <w:bCs/>
      <w:kern w:val="2"/>
      <w:sz w:val="32"/>
      <w:szCs w:val="32"/>
    </w:rPr>
  </w:style>
  <w:style w:type="character" w:styleId="PodnadpisChar" w:customStyle="1">
    <w:name w:val="Podnadpis Char"/>
    <w:basedOn w:val="DefaultParagraphFont"/>
    <w:uiPriority w:val="11"/>
    <w:qFormat/>
    <w:rsid w:val="00e50fc7"/>
    <w:rPr>
      <w:rFonts w:ascii="Calibri Light" w:hAnsi="Calibri Light" w:eastAsia="" w:asciiTheme="majorHAnsi" w:eastAsiaTheme="majorEastAsia" w:hAnsiTheme="majorHAnsi"/>
      <w:sz w:val="24"/>
      <w:szCs w:val="24"/>
    </w:rPr>
  </w:style>
  <w:style w:type="character" w:styleId="Zdraznn">
    <w:name w:val="Emphasis"/>
    <w:basedOn w:val="DefaultParagraphFont"/>
    <w:uiPriority w:val="99"/>
    <w:qFormat/>
    <w:rsid w:val="00e50fc7"/>
    <w:rPr>
      <w:rFonts w:ascii="Calibri" w:hAnsi="Calibri" w:asciiTheme="minorHAnsi" w:hAnsiTheme="minorHAnsi"/>
      <w:b/>
      <w:i/>
      <w:iCs/>
    </w:rPr>
  </w:style>
  <w:style w:type="character" w:styleId="CittChar" w:customStyle="1">
    <w:name w:val="Citát Char"/>
    <w:basedOn w:val="DefaultParagraphFont"/>
    <w:link w:val="Quote"/>
    <w:uiPriority w:val="29"/>
    <w:qFormat/>
    <w:rsid w:val="00e50fc7"/>
    <w:rPr>
      <w:i/>
      <w:sz w:val="24"/>
      <w:szCs w:val="24"/>
    </w:rPr>
  </w:style>
  <w:style w:type="character" w:styleId="VrazncittChar" w:customStyle="1">
    <w:name w:val="Výrazný citát Char"/>
    <w:basedOn w:val="DefaultParagraphFont"/>
    <w:link w:val="IntenseQuote"/>
    <w:uiPriority w:val="30"/>
    <w:qFormat/>
    <w:rsid w:val="00e50fc7"/>
    <w:rPr>
      <w:b/>
      <w:i/>
      <w:sz w:val="24"/>
    </w:rPr>
  </w:style>
  <w:style w:type="character" w:styleId="SubtleEmphasis">
    <w:name w:val="Subtle Emphasis"/>
    <w:uiPriority w:val="19"/>
    <w:qFormat/>
    <w:rsid w:val="00e50fc7"/>
    <w:rPr>
      <w:i/>
      <w:color w:val="5A5A5A" w:themeColor="text1" w:themeTint="a5"/>
    </w:rPr>
  </w:style>
  <w:style w:type="character" w:styleId="IntenseEmphasis">
    <w:name w:val="Intense Emphasis"/>
    <w:basedOn w:val="DefaultParagraphFont"/>
    <w:uiPriority w:val="21"/>
    <w:qFormat/>
    <w:rsid w:val="00e50fc7"/>
    <w:rPr>
      <w:b/>
      <w:i/>
      <w:sz w:val="24"/>
      <w:szCs w:val="24"/>
      <w:u w:val="single"/>
    </w:rPr>
  </w:style>
  <w:style w:type="character" w:styleId="SubtleReference">
    <w:name w:val="Subtle Reference"/>
    <w:basedOn w:val="DefaultParagraphFont"/>
    <w:uiPriority w:val="31"/>
    <w:qFormat/>
    <w:rsid w:val="00e50fc7"/>
    <w:rPr>
      <w:sz w:val="24"/>
      <w:szCs w:val="24"/>
      <w:u w:val="single"/>
    </w:rPr>
  </w:style>
  <w:style w:type="character" w:styleId="IntenseReference">
    <w:name w:val="Intense Reference"/>
    <w:basedOn w:val="DefaultParagraphFont"/>
    <w:uiPriority w:val="32"/>
    <w:qFormat/>
    <w:rsid w:val="00e50fc7"/>
    <w:rPr>
      <w:b/>
      <w:sz w:val="24"/>
      <w:u w:val="single"/>
    </w:rPr>
  </w:style>
  <w:style w:type="character" w:styleId="BookTitle">
    <w:name w:val="Book Title"/>
    <w:basedOn w:val="DefaultParagraphFont"/>
    <w:uiPriority w:val="33"/>
    <w:qFormat/>
    <w:rsid w:val="00e50fc7"/>
    <w:rPr>
      <w:rFonts w:ascii="Calibri Light" w:hAnsi="Calibri Light" w:eastAsia="" w:asciiTheme="majorHAnsi" w:eastAsiaTheme="majorEastAsia" w:hAnsiTheme="majorHAnsi"/>
      <w:b/>
      <w:i/>
      <w:sz w:val="24"/>
      <w:szCs w:val="24"/>
    </w:rPr>
  </w:style>
  <w:style w:type="character" w:styleId="RozloendokumentuChar" w:customStyle="1">
    <w:name w:val="Rozložení dokumentu Char"/>
    <w:basedOn w:val="DefaultParagraphFont"/>
    <w:link w:val="DocumentMap"/>
    <w:uiPriority w:val="99"/>
    <w:semiHidden/>
    <w:qFormat/>
    <w:rsid w:val="00393734"/>
    <w:rPr>
      <w:rFonts w:ascii="Tahoma" w:hAnsi="Tahoma" w:eastAsia="Times New Roman" w:cs="Tahoma"/>
      <w:sz w:val="24"/>
      <w:szCs w:val="24"/>
      <w:shd w:fill="000080" w:val="clear"/>
      <w:lang w:val="cs-CZ" w:eastAsia="cs-CZ"/>
    </w:rPr>
  </w:style>
  <w:style w:type="character" w:styleId="T1" w:customStyle="1">
    <w:name w:val="t1"/>
    <w:basedOn w:val="DefaultParagraphFont"/>
    <w:qFormat/>
    <w:rsid w:val="00393734"/>
    <w:rPr>
      <w:rFonts w:cs="Times New Roman"/>
      <w:color w:val="auto"/>
    </w:rPr>
  </w:style>
  <w:style w:type="character" w:styleId="Annotationreference">
    <w:name w:val="annotation reference"/>
    <w:basedOn w:val="DefaultParagraphFont"/>
    <w:qFormat/>
    <w:rsid w:val="00393734"/>
    <w:rPr>
      <w:rFonts w:cs="Times New Roman"/>
      <w:sz w:val="16"/>
      <w:szCs w:val="16"/>
    </w:rPr>
  </w:style>
  <w:style w:type="character" w:styleId="CharChar5" w:customStyle="1">
    <w:name w:val="Char Char5"/>
    <w:basedOn w:val="DefaultParagraphFont"/>
    <w:uiPriority w:val="99"/>
    <w:semiHidden/>
    <w:qFormat/>
    <w:locked/>
    <w:rsid w:val="00393734"/>
    <w:rPr>
      <w:rFonts w:cs="Times New Roman"/>
      <w:sz w:val="24"/>
      <w:szCs w:val="24"/>
      <w:lang w:val="cs-CZ" w:eastAsia="cs-CZ" w:bidi="ar-SA"/>
    </w:rPr>
  </w:style>
  <w:style w:type="character" w:styleId="Otis" w:customStyle="1">
    <w:name w:val="Otis"/>
    <w:semiHidden/>
    <w:qFormat/>
    <w:rsid w:val="00393734"/>
    <w:rPr>
      <w:rFonts w:ascii="Arial" w:hAnsi="Arial" w:cs="Arial"/>
      <w:color w:val="000080"/>
      <w:sz w:val="20"/>
      <w:szCs w:val="20"/>
    </w:rPr>
  </w:style>
  <w:style w:type="character" w:styleId="PlaceholderText">
    <w:name w:val="Placeholder Text"/>
    <w:basedOn w:val="DefaultParagraphFont"/>
    <w:uiPriority w:val="99"/>
    <w:semiHidden/>
    <w:qFormat/>
    <w:rsid w:val="00393734"/>
    <w:rPr>
      <w:color w:val="808080"/>
    </w:rPr>
  </w:style>
  <w:style w:type="character" w:styleId="Textwhite" w:customStyle="1">
    <w:name w:val="text_white"/>
    <w:basedOn w:val="DefaultParagraphFont"/>
    <w:qFormat/>
    <w:rsid w:val="00393734"/>
    <w:rPr/>
  </w:style>
  <w:style w:type="character" w:styleId="PedmtkomenteChar" w:customStyle="1">
    <w:name w:val="Předmět komentáře Char"/>
    <w:basedOn w:val="TextkomenteChar"/>
    <w:link w:val="Annotationsubject"/>
    <w:qFormat/>
    <w:rsid w:val="00393734"/>
    <w:rPr>
      <w:rFonts w:ascii="Times New Roman" w:hAnsi="Times New Roman" w:eastAsia="Times New Roman" w:cs="Times New Roman"/>
      <w:b/>
      <w:bCs/>
      <w:sz w:val="20"/>
      <w:szCs w:val="20"/>
      <w:lang w:val="cs-CZ" w:eastAsia="cs-CZ"/>
    </w:rPr>
  </w:style>
  <w:style w:type="character" w:styleId="BezmezerChar" w:customStyle="1">
    <w:name w:val="Bez mezer Char"/>
    <w:basedOn w:val="DefaultParagraphFont"/>
    <w:link w:val="NoSpacing"/>
    <w:uiPriority w:val="1"/>
    <w:qFormat/>
    <w:rsid w:val="005453f9"/>
    <w:rPr>
      <w:rFonts w:ascii="Calibri Light" w:hAnsi="Calibri Light" w:asciiTheme="majorHAnsi" w:hAnsiTheme="majorHAnsi"/>
      <w:sz w:val="24"/>
      <w:szCs w:val="32"/>
      <w:lang w:val="cs-CZ"/>
    </w:rPr>
  </w:style>
  <w:style w:type="character" w:styleId="DsNadpis1Char" w:customStyle="1">
    <w:name w:val="DsNadpis1 Char"/>
    <w:basedOn w:val="Heading1Char"/>
    <w:link w:val="DsNadpis1"/>
    <w:qFormat/>
    <w:rsid w:val="00433fe1"/>
    <w:rPr>
      <w:rFonts w:ascii="Calibri Light" w:hAnsi="Calibri Light" w:eastAsia="" w:cs="Mangal" w:asciiTheme="majorHAnsi" w:cstheme="majorBidi" w:eastAsiaTheme="majorEastAsia" w:hAnsiTheme="majorHAnsi"/>
      <w:b/>
      <w:bCs/>
      <w:color w:val="2E74B5" w:themeColor="accent1" w:themeShade="bf"/>
      <w:kern w:val="2"/>
      <w:sz w:val="36"/>
      <w:szCs w:val="32"/>
      <w:lang w:val="fr-FR" w:eastAsia="cs-CZ"/>
    </w:rPr>
  </w:style>
  <w:style w:type="character" w:styleId="DsNormalChar" w:customStyle="1">
    <w:name w:val="DsNormal Char"/>
    <w:basedOn w:val="DefaultParagraphFont"/>
    <w:link w:val="DsNormal"/>
    <w:qFormat/>
    <w:rsid w:val="00221939"/>
    <w:rPr>
      <w:rFonts w:ascii="Arial" w:hAnsi="Arial" w:cs="Arial"/>
      <w:sz w:val="20"/>
      <w:szCs w:val="18"/>
      <w:lang w:val="fr-FR"/>
    </w:rPr>
  </w:style>
  <w:style w:type="paragraph" w:styleId="Nadpis" w:customStyle="1">
    <w:name w:val="Nadpis"/>
    <w:next w:val="Tlotextu"/>
    <w:qFormat/>
    <w:rsid w:val="00393734"/>
    <w:pPr>
      <w:widowControl w:val="false"/>
      <w:suppressAutoHyphens w:val="true"/>
      <w:bidi w:val="0"/>
      <w:spacing w:lineRule="auto" w:line="259" w:before="0" w:after="160"/>
      <w:jc w:val="center"/>
    </w:pPr>
    <w:rPr>
      <w:rFonts w:ascii="Arial" w:hAnsi="Arial" w:eastAsia="Times New Roman" w:cs="Mangal"/>
      <w:b/>
      <w:color w:val="000000"/>
      <w:kern w:val="0"/>
      <w:sz w:val="36"/>
      <w:szCs w:val="22"/>
      <w:lang w:val="cs-CZ" w:eastAsia="cs-CZ" w:bidi="ar-SA"/>
    </w:rPr>
  </w:style>
  <w:style w:type="paragraph" w:styleId="Tlotextu">
    <w:name w:val="Body Text"/>
    <w:basedOn w:val="Normal"/>
    <w:link w:val="ZkladntextChar"/>
    <w:uiPriority w:val="99"/>
    <w:rsid w:val="0072280c"/>
    <w:pPr/>
    <w:rPr>
      <w:rFonts w:ascii="CG Omega" w:hAnsi="CG Omega"/>
      <w:szCs w:val="20"/>
      <w:lang w:val="en-US" w:eastAsia="en-US"/>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Zhlavazpat">
    <w:name w:val="Záhlaví a zápatí"/>
    <w:basedOn w:val="Normal"/>
    <w:qFormat/>
    <w:pPr/>
    <w:rPr/>
  </w:style>
  <w:style w:type="paragraph" w:styleId="Zhlav">
    <w:name w:val="Header"/>
    <w:basedOn w:val="Normal"/>
    <w:link w:val="ZhlavChar"/>
    <w:uiPriority w:val="99"/>
    <w:rsid w:val="0072280c"/>
    <w:pPr>
      <w:tabs>
        <w:tab w:val="clear" w:pos="720"/>
        <w:tab w:val="center" w:pos="4536" w:leader="none"/>
        <w:tab w:val="right" w:pos="9072" w:leader="none"/>
      </w:tabs>
    </w:pPr>
    <w:rPr/>
  </w:style>
  <w:style w:type="paragraph" w:styleId="NumberList" w:customStyle="1">
    <w:name w:val="Number List"/>
    <w:qFormat/>
    <w:rsid w:val="0072280c"/>
    <w:pPr>
      <w:widowControl w:val="false"/>
      <w:suppressAutoHyphens w:val="true"/>
      <w:bidi w:val="0"/>
      <w:spacing w:lineRule="auto" w:line="240" w:before="0" w:after="0"/>
      <w:ind w:left="686" w:hanging="0"/>
      <w:jc w:val="left"/>
    </w:pPr>
    <w:rPr>
      <w:rFonts w:ascii="Timpani" w:hAnsi="Timpani" w:eastAsia="Times New Roman" w:cs="Times New Roman"/>
      <w:b/>
      <w:color w:val="000000"/>
      <w:kern w:val="0"/>
      <w:sz w:val="72"/>
      <w:szCs w:val="20"/>
      <w:lang w:val="cs-CZ" w:eastAsia="cs-CZ" w:bidi="ar-SA"/>
    </w:rPr>
  </w:style>
  <w:style w:type="paragraph" w:styleId="Zpat">
    <w:name w:val="Footer"/>
    <w:basedOn w:val="Normal"/>
    <w:link w:val="ZpatChar"/>
    <w:uiPriority w:val="99"/>
    <w:unhideWhenUsed/>
    <w:rsid w:val="0072280c"/>
    <w:pPr>
      <w:tabs>
        <w:tab w:val="clear" w:pos="720"/>
        <w:tab w:val="center" w:pos="4680" w:leader="none"/>
        <w:tab w:val="right" w:pos="9360" w:leader="none"/>
      </w:tabs>
    </w:pPr>
    <w:rPr/>
  </w:style>
  <w:style w:type="paragraph" w:styleId="Annotationtext">
    <w:name w:val="annotation text"/>
    <w:basedOn w:val="Normal"/>
    <w:link w:val="TextkomenteChar"/>
    <w:uiPriority w:val="99"/>
    <w:qFormat/>
    <w:rsid w:val="0072280c"/>
    <w:pPr/>
    <w:rPr>
      <w:szCs w:val="20"/>
    </w:rPr>
  </w:style>
  <w:style w:type="paragraph" w:styleId="Obsah1">
    <w:name w:val="TOC 1"/>
    <w:basedOn w:val="Normal"/>
    <w:next w:val="Normal"/>
    <w:link w:val="Obsah1Char"/>
    <w:autoRedefine/>
    <w:uiPriority w:val="39"/>
    <w:rsid w:val="00125b98"/>
    <w:pPr>
      <w:tabs>
        <w:tab w:val="clear" w:pos="720"/>
        <w:tab w:val="right" w:pos="-10" w:leader="dot"/>
        <w:tab w:val="right" w:pos="8993" w:leader="dot"/>
      </w:tabs>
    </w:pPr>
    <w:rPr>
      <w:color w:val="042442"/>
      <w:sz w:val="36"/>
    </w:rPr>
  </w:style>
  <w:style w:type="paragraph" w:styleId="Odsazentlatextu">
    <w:name w:val="Body Text Indent"/>
    <w:basedOn w:val="Normal"/>
    <w:link w:val="ZkladntextodsazenChar"/>
    <w:uiPriority w:val="99"/>
    <w:semiHidden/>
    <w:unhideWhenUsed/>
    <w:rsid w:val="00ea6e5e"/>
    <w:pPr>
      <w:ind w:left="360" w:hanging="0"/>
    </w:pPr>
    <w:rPr/>
  </w:style>
  <w:style w:type="paragraph" w:styleId="Default" w:customStyle="1">
    <w:name w:val="Default"/>
    <w:qFormat/>
    <w:rsid w:val="00ea6e5e"/>
    <w:pPr>
      <w:widowControl w:val="false"/>
      <w:suppressAutoHyphens w:val="true"/>
      <w:bidi w:val="0"/>
      <w:spacing w:lineRule="auto" w:line="240" w:before="0" w:after="0"/>
      <w:jc w:val="left"/>
    </w:pPr>
    <w:rPr>
      <w:rFonts w:ascii="Times New Roman" w:hAnsi="Times New Roman" w:eastAsia="Times New Roman" w:cs="Times New Roman"/>
      <w:color w:val="000000"/>
      <w:kern w:val="0"/>
      <w:sz w:val="24"/>
      <w:szCs w:val="24"/>
      <w:lang w:val="cs-CZ" w:eastAsia="cs-CZ" w:bidi="ar-SA"/>
    </w:rPr>
  </w:style>
  <w:style w:type="paragraph" w:styleId="Nadpisrejstku">
    <w:name w:val="Index Heading"/>
    <w:basedOn w:val="Nadpis"/>
    <w:pPr/>
    <w:rPr/>
  </w:style>
  <w:style w:type="paragraph" w:styleId="Nadpisobsahu">
    <w:name w:val="TOC Heading"/>
    <w:basedOn w:val="Nadpis1"/>
    <w:next w:val="Normal"/>
    <w:uiPriority w:val="39"/>
    <w:unhideWhenUsed/>
    <w:qFormat/>
    <w:rsid w:val="008a0555"/>
    <w:pPr>
      <w:keepLines/>
      <w:spacing w:lineRule="auto" w:line="259" w:before="240" w:after="120"/>
      <w:jc w:val="left"/>
      <w:outlineLvl w:val="9"/>
    </w:pPr>
    <w:rPr>
      <w:rFonts w:ascii="Calibri Light" w:hAnsi="Calibri Light" w:eastAsia="" w:cs="Mangal" w:asciiTheme="majorHAnsi" w:cstheme="majorBidi" w:eastAsiaTheme="majorEastAsia" w:hAnsiTheme="majorHAnsi"/>
      <w:b w:val="false"/>
      <w:bCs w:val="false"/>
      <w:color w:val="2E74B5" w:themeColor="accent1" w:themeShade="bf"/>
      <w:sz w:val="32"/>
      <w:szCs w:val="32"/>
      <w:lang w:val="en-US" w:eastAsia="en-US"/>
    </w:rPr>
  </w:style>
  <w:style w:type="paragraph" w:styleId="ListParagraph">
    <w:name w:val="List Paragraph"/>
    <w:basedOn w:val="Normal"/>
    <w:link w:val="OdstavecseseznamemChar"/>
    <w:uiPriority w:val="34"/>
    <w:qFormat/>
    <w:rsid w:val="00a00df8"/>
    <w:pPr>
      <w:spacing w:before="0" w:after="120"/>
      <w:ind w:left="720" w:hanging="0"/>
      <w:contextualSpacing/>
    </w:pPr>
    <w:rPr/>
  </w:style>
  <w:style w:type="paragraph" w:styleId="Obsah2">
    <w:name w:val="TOC 2"/>
    <w:basedOn w:val="Normal"/>
    <w:next w:val="Normal"/>
    <w:autoRedefine/>
    <w:uiPriority w:val="39"/>
    <w:unhideWhenUsed/>
    <w:rsid w:val="00444b48"/>
    <w:pPr>
      <w:spacing w:before="0" w:after="100"/>
      <w:ind w:left="240" w:hanging="0"/>
    </w:pPr>
    <w:rPr/>
  </w:style>
  <w:style w:type="paragraph" w:styleId="BalloonText">
    <w:name w:val="Balloon Text"/>
    <w:basedOn w:val="Normal"/>
    <w:link w:val="TextbublinyChar"/>
    <w:uiPriority w:val="99"/>
    <w:semiHidden/>
    <w:unhideWhenUsed/>
    <w:qFormat/>
    <w:rsid w:val="00462d74"/>
    <w:pPr/>
    <w:rPr>
      <w:rFonts w:ascii="Tahoma" w:hAnsi="Tahoma" w:cs="Tahoma"/>
      <w:sz w:val="16"/>
      <w:szCs w:val="16"/>
    </w:rPr>
  </w:style>
  <w:style w:type="paragraph" w:styleId="TenderHeader" w:customStyle="1">
    <w:name w:val="TenderHeader"/>
    <w:basedOn w:val="ListParagraph"/>
    <w:link w:val="TenderHeaderChar"/>
    <w:qFormat/>
    <w:rsid w:val="002f6126"/>
    <w:pPr>
      <w:numPr>
        <w:ilvl w:val="0"/>
        <w:numId w:val="1"/>
      </w:numPr>
      <w:spacing w:lineRule="atLeast" w:line="300"/>
    </w:pPr>
    <w:rPr>
      <w:rFonts w:cs="Arial"/>
      <w:color w:val="2E74B5" w:themeColor="accent1" w:themeShade="bf"/>
      <w:sz w:val="28"/>
      <w:szCs w:val="28"/>
    </w:rPr>
  </w:style>
  <w:style w:type="paragraph" w:styleId="TdTitle" w:customStyle="1">
    <w:name w:val="TdTitle"/>
    <w:basedOn w:val="Zhlav"/>
    <w:link w:val="TdTitleChar"/>
    <w:qFormat/>
    <w:rsid w:val="00ee12cd"/>
    <w:pPr>
      <w:jc w:val="center"/>
    </w:pPr>
    <w:rPr>
      <w:rFonts w:ascii="Calibri" w:hAnsi="Calibri" w:cs="Arial" w:asciiTheme="minorHAnsi" w:hAnsiTheme="minorHAnsi"/>
      <w:b/>
      <w:color w:val="041E42"/>
      <w:sz w:val="52"/>
      <w:szCs w:val="52"/>
    </w:rPr>
  </w:style>
  <w:style w:type="paragraph" w:styleId="TdSubTitle" w:customStyle="1">
    <w:name w:val="TdSubTitle"/>
    <w:basedOn w:val="Zhlav"/>
    <w:link w:val="TdSubTitleChar"/>
    <w:qFormat/>
    <w:rsid w:val="003d1cf0"/>
    <w:pPr>
      <w:jc w:val="center"/>
    </w:pPr>
    <w:rPr>
      <w:rFonts w:cs="Arial"/>
      <w:color w:val="041E42"/>
      <w:sz w:val="32"/>
      <w:szCs w:val="48"/>
    </w:rPr>
  </w:style>
  <w:style w:type="paragraph" w:styleId="TdInfoBold" w:customStyle="1">
    <w:name w:val="TdInfoBold"/>
    <w:basedOn w:val="TdSubTitle"/>
    <w:link w:val="TdInfoBoldChar"/>
    <w:qFormat/>
    <w:rsid w:val="00e541b4"/>
    <w:pPr>
      <w:jc w:val="left"/>
    </w:pPr>
    <w:rPr>
      <w:rFonts w:ascii="Century Gothic" w:hAnsi="Century Gothic"/>
      <w:b/>
    </w:rPr>
  </w:style>
  <w:style w:type="paragraph" w:styleId="TdPageNr" w:customStyle="1">
    <w:name w:val="TdPageNr"/>
    <w:basedOn w:val="Zpat"/>
    <w:link w:val="TdPageNrChar"/>
    <w:qFormat/>
    <w:rsid w:val="00ae7ba8"/>
    <w:pPr>
      <w:jc w:val="center"/>
    </w:pPr>
    <w:rPr>
      <w:color w:val="041E42"/>
    </w:rPr>
  </w:style>
  <w:style w:type="paragraph" w:styleId="TdHeaderInfo" w:customStyle="1">
    <w:name w:val="TdHeaderInfo"/>
    <w:link w:val="TdHeaderInfoChar"/>
    <w:qFormat/>
    <w:rsid w:val="0026780c"/>
    <w:pPr>
      <w:widowControl/>
      <w:suppressAutoHyphens w:val="true"/>
      <w:bidi w:val="0"/>
      <w:spacing w:lineRule="auto" w:line="259" w:before="0" w:after="0"/>
      <w:jc w:val="left"/>
    </w:pPr>
    <w:rPr>
      <w:rFonts w:ascii="Century Gothic" w:hAnsi="Century Gothic" w:eastAsia="Times New Roman" w:cs="Arial"/>
      <w:b/>
      <w:bCs/>
      <w:color w:val="041E42"/>
      <w:kern w:val="0"/>
      <w:sz w:val="36"/>
      <w:szCs w:val="44"/>
      <w:lang w:val="cs-CZ" w:eastAsia="cs-CZ" w:bidi="ar-SA"/>
    </w:rPr>
  </w:style>
  <w:style w:type="paragraph" w:styleId="TdHeaderRealTerm" w:customStyle="1">
    <w:name w:val="TdHeaderRealTerm"/>
    <w:basedOn w:val="TdHeaderInfo"/>
    <w:link w:val="TdHeaderRealTermChar"/>
    <w:qFormat/>
    <w:rsid w:val="00e416a2"/>
    <w:pPr>
      <w:spacing w:lineRule="auto" w:line="240"/>
    </w:pPr>
    <w:rPr/>
  </w:style>
  <w:style w:type="paragraph" w:styleId="TdContentLine" w:customStyle="1">
    <w:name w:val="TdContentLine"/>
    <w:next w:val="Default"/>
    <w:link w:val="TdContentLineChar"/>
    <w:qFormat/>
    <w:rsid w:val="00b97e79"/>
    <w:pPr>
      <w:widowControl/>
      <w:suppressAutoHyphens w:val="true"/>
      <w:bidi w:val="0"/>
      <w:spacing w:lineRule="auto" w:line="259" w:before="0" w:after="0"/>
      <w:jc w:val="left"/>
    </w:pPr>
    <w:rPr>
      <w:rFonts w:ascii="Century Gothic" w:hAnsi="Century Gothic" w:eastAsia="Times New Roman" w:cs="Arial"/>
      <w:color w:val="041E42"/>
      <w:kern w:val="0"/>
      <w:sz w:val="28"/>
      <w:szCs w:val="48"/>
      <w:lang w:val="cs-CZ" w:eastAsia="cs-CZ" w:bidi="ar-SA"/>
    </w:rPr>
  </w:style>
  <w:style w:type="paragraph" w:styleId="TdSpace" w:customStyle="1">
    <w:name w:val="TdSpace"/>
    <w:basedOn w:val="Zhlav"/>
    <w:link w:val="TdSpaceChar"/>
    <w:qFormat/>
    <w:rsid w:val="004c5dc7"/>
    <w:pPr/>
    <w:rPr>
      <w:rFonts w:cs="Arial"/>
      <w:color w:val="041E42"/>
      <w:sz w:val="16"/>
      <w:szCs w:val="16"/>
    </w:rPr>
  </w:style>
  <w:style w:type="paragraph" w:styleId="TdInfo" w:customStyle="1">
    <w:name w:val="TdInfo"/>
    <w:link w:val="TdInfoChar"/>
    <w:qFormat/>
    <w:rsid w:val="00e3613e"/>
    <w:pPr>
      <w:widowControl/>
      <w:suppressAutoHyphens w:val="true"/>
      <w:bidi w:val="0"/>
      <w:spacing w:lineRule="auto" w:line="259" w:before="0" w:after="160"/>
      <w:jc w:val="left"/>
    </w:pPr>
    <w:rPr>
      <w:rFonts w:ascii="Century Gothic" w:hAnsi="Century Gothic" w:eastAsia="Times New Roman" w:cs="Arial"/>
      <w:bCs/>
      <w:color w:val="041E42"/>
      <w:kern w:val="0"/>
      <w:sz w:val="36"/>
      <w:szCs w:val="48"/>
      <w:lang w:val="cs-CZ" w:eastAsia="cs-CZ" w:bidi="ar-SA"/>
    </w:rPr>
  </w:style>
  <w:style w:type="paragraph" w:styleId="TdTableHeader" w:customStyle="1">
    <w:name w:val="TdTableHeader"/>
    <w:basedOn w:val="Normal"/>
    <w:link w:val="TdTableHeaderChar"/>
    <w:qFormat/>
    <w:rsid w:val="007f33f1"/>
    <w:pPr>
      <w:spacing w:before="120" w:after="120"/>
      <w:ind w:left="284" w:right="284" w:hanging="0"/>
      <w:jc w:val="center"/>
    </w:pPr>
    <w:rPr>
      <w:rFonts w:cs="Arial"/>
      <w:b/>
      <w:color w:val="FFFFFF" w:themeColor="background1"/>
    </w:rPr>
  </w:style>
  <w:style w:type="paragraph" w:styleId="TdNormal" w:customStyle="1">
    <w:name w:val="TdNormal"/>
    <w:basedOn w:val="Normal"/>
    <w:link w:val="TdNormalChar"/>
    <w:qFormat/>
    <w:rsid w:val="0073494e"/>
    <w:pPr>
      <w:spacing w:lineRule="auto" w:line="480"/>
    </w:pPr>
    <w:rPr>
      <w:rFonts w:cs="Arial"/>
      <w:color w:val="041E42"/>
      <w:szCs w:val="20"/>
    </w:rPr>
  </w:style>
  <w:style w:type="paragraph" w:styleId="TdSmall" w:customStyle="1">
    <w:name w:val="TdSmall"/>
    <w:basedOn w:val="Obsah1"/>
    <w:link w:val="TdSmallChar"/>
    <w:qFormat/>
    <w:rsid w:val="004c5dc7"/>
    <w:pPr/>
    <w:rPr>
      <w:color w:val="041E42"/>
      <w:sz w:val="18"/>
      <w:szCs w:val="16"/>
    </w:rPr>
  </w:style>
  <w:style w:type="paragraph" w:styleId="TdMin" w:customStyle="1">
    <w:name w:val="TdMin"/>
    <w:basedOn w:val="Normal"/>
    <w:link w:val="TdMinChar"/>
    <w:qFormat/>
    <w:rsid w:val="00e334eb"/>
    <w:pPr>
      <w:spacing w:lineRule="auto" w:line="240" w:before="0" w:after="0"/>
    </w:pPr>
    <w:rPr>
      <w:rFonts w:ascii="Century Gothic" w:hAnsi="Century Gothic"/>
      <w:color w:val="041E42"/>
      <w:sz w:val="16"/>
      <w:szCs w:val="16"/>
    </w:rPr>
  </w:style>
  <w:style w:type="paragraph" w:styleId="Flietext" w:customStyle="1">
    <w:name w:val="Fließtext"/>
    <w:basedOn w:val="Normal"/>
    <w:link w:val="FlietextChar"/>
    <w:uiPriority w:val="99"/>
    <w:qFormat/>
    <w:rsid w:val="00b7139d"/>
    <w:pPr>
      <w:spacing w:lineRule="exact" w:line="270" w:before="0" w:after="0"/>
      <w:ind w:right="2495" w:hanging="0"/>
    </w:pPr>
    <w:rPr>
      <w:rFonts w:ascii="Century Gothic" w:hAnsi="Century Gothic" w:eastAsia="Calibri"/>
      <w:color w:val="041E42"/>
      <w:sz w:val="19"/>
      <w:szCs w:val="22"/>
      <w:lang w:val="de-DE" w:eastAsia="en-US"/>
    </w:rPr>
  </w:style>
  <w:style w:type="paragraph" w:styleId="KleinerText" w:customStyle="1">
    <w:name w:val="Kleiner Text"/>
    <w:basedOn w:val="Flietext"/>
    <w:link w:val="KleinerTextZchn"/>
    <w:uiPriority w:val="99"/>
    <w:qFormat/>
    <w:rsid w:val="00b51026"/>
    <w:pPr>
      <w:spacing w:lineRule="exact" w:line="230"/>
    </w:pPr>
    <w:rPr>
      <w:sz w:val="16"/>
      <w:szCs w:val="16"/>
    </w:rPr>
  </w:style>
  <w:style w:type="paragraph" w:styleId="ListTable" w:customStyle="1">
    <w:name w:val="List Table"/>
    <w:basedOn w:val="Normal"/>
    <w:link w:val="ListTableZchn"/>
    <w:uiPriority w:val="99"/>
    <w:qFormat/>
    <w:rsid w:val="00b51026"/>
    <w:pPr>
      <w:numPr>
        <w:ilvl w:val="0"/>
        <w:numId w:val="2"/>
      </w:numPr>
      <w:spacing w:lineRule="exact" w:line="200" w:before="0" w:after="40"/>
      <w:ind w:left="170" w:hanging="170"/>
    </w:pPr>
    <w:rPr>
      <w:rFonts w:ascii="Century Gothic" w:hAnsi="Century Gothic" w:eastAsia="Calibri"/>
      <w:color w:val="041E42"/>
      <w:sz w:val="16"/>
      <w:szCs w:val="16"/>
      <w:lang w:val="de-DE" w:eastAsia="en-US"/>
    </w:rPr>
  </w:style>
  <w:style w:type="paragraph" w:styleId="Danachohne" w:customStyle="1">
    <w:name w:val="Ü danach ohne"/>
    <w:basedOn w:val="Normal"/>
    <w:link w:val="DanachohneZchn"/>
    <w:uiPriority w:val="99"/>
    <w:qFormat/>
    <w:rsid w:val="00b51026"/>
    <w:pPr>
      <w:keepNext w:val="true"/>
      <w:keepLines/>
      <w:spacing w:lineRule="auto" w:line="240" w:before="0" w:after="520"/>
      <w:outlineLvl w:val="0"/>
    </w:pPr>
    <w:rPr>
      <w:rFonts w:ascii="Georgia" w:hAnsi="Georgia" w:eastAsia="等? Light"/>
      <w:b/>
      <w:color w:val="041E42"/>
      <w:sz w:val="28"/>
      <w:szCs w:val="60"/>
      <w:lang w:val="de-DE" w:eastAsia="en-US"/>
    </w:rPr>
  </w:style>
  <w:style w:type="paragraph" w:styleId="DsNadpis2" w:customStyle="1">
    <w:name w:val="DsNadpis2"/>
    <w:basedOn w:val="Normal"/>
    <w:link w:val="DsNadpis2Char"/>
    <w:qFormat/>
    <w:rsid w:val="00656bc8"/>
    <w:pPr>
      <w:keepNext w:val="true"/>
      <w:spacing w:before="120" w:after="60"/>
      <w:outlineLvl w:val="0"/>
    </w:pPr>
    <w:rPr>
      <w:rFonts w:ascii="Calibri Light" w:hAnsi="Calibri Light" w:eastAsia="" w:asciiTheme="majorHAnsi" w:eastAsiaTheme="majorEastAsia" w:hAnsiTheme="majorHAnsi"/>
      <w:b/>
      <w:bCs/>
      <w:color w:val="041E42"/>
      <w:kern w:val="2"/>
      <w:sz w:val="28"/>
      <w:szCs w:val="28"/>
      <w:lang w:val="fr-FR"/>
    </w:rPr>
  </w:style>
  <w:style w:type="paragraph" w:styleId="TdHeader" w:customStyle="1">
    <w:name w:val="TdHeader"/>
    <w:basedOn w:val="Normal"/>
    <w:link w:val="TdHeaderChar"/>
    <w:qFormat/>
    <w:rsid w:val="00656bc8"/>
    <w:pPr>
      <w:spacing w:before="0" w:after="40"/>
    </w:pPr>
    <w:rPr>
      <w:rFonts w:ascii="Century Gothic" w:hAnsi="Century Gothic"/>
      <w:b/>
      <w:bCs/>
      <w:color w:val="041E42"/>
      <w:sz w:val="36"/>
      <w:szCs w:val="36"/>
    </w:rPr>
  </w:style>
  <w:style w:type="paragraph" w:styleId="NormalWeb">
    <w:name w:val="Normal (Web)"/>
    <w:basedOn w:val="Normal"/>
    <w:uiPriority w:val="99"/>
    <w:unhideWhenUsed/>
    <w:qFormat/>
    <w:rsid w:val="00f2512a"/>
    <w:pPr>
      <w:spacing w:beforeAutospacing="1" w:afterAutospacing="1"/>
    </w:pPr>
    <w:rPr>
      <w:rFonts w:ascii="Times New Roman" w:hAnsi="Times New Roman" w:eastAsia="" w:eastAsiaTheme="minorEastAsia"/>
      <w:lang w:val="en-US"/>
    </w:rPr>
  </w:style>
  <w:style w:type="paragraph" w:styleId="Caption">
    <w:name w:val="caption"/>
    <w:basedOn w:val="Normal"/>
    <w:next w:val="Normal"/>
    <w:uiPriority w:val="35"/>
    <w:semiHidden/>
    <w:unhideWhenUsed/>
    <w:qFormat/>
    <w:rsid w:val="00431b48"/>
    <w:pPr>
      <w:spacing w:lineRule="auto" w:line="240" w:before="0" w:after="200"/>
    </w:pPr>
    <w:rPr>
      <w:i/>
      <w:iCs/>
      <w:color w:val="44546A" w:themeColor="text2"/>
      <w:sz w:val="18"/>
      <w:szCs w:val="18"/>
    </w:rPr>
  </w:style>
  <w:style w:type="paragraph" w:styleId="Pa4" w:customStyle="1">
    <w:name w:val="Pa4"/>
    <w:basedOn w:val="Default"/>
    <w:next w:val="Default"/>
    <w:uiPriority w:val="99"/>
    <w:qFormat/>
    <w:rsid w:val="00946e05"/>
    <w:pPr>
      <w:spacing w:lineRule="atLeast" w:line="241"/>
    </w:pPr>
    <w:rPr>
      <w:rFonts w:cs="Mangal" w:cstheme="minorBidi"/>
      <w:color w:val="auto"/>
    </w:rPr>
  </w:style>
  <w:style w:type="paragraph" w:styleId="Nzev">
    <w:name w:val="Title"/>
    <w:basedOn w:val="Normal"/>
    <w:next w:val="Normal"/>
    <w:link w:val="NzevChar"/>
    <w:uiPriority w:val="10"/>
    <w:qFormat/>
    <w:rsid w:val="00e50fc7"/>
    <w:pPr>
      <w:spacing w:before="240" w:after="60"/>
      <w:jc w:val="center"/>
      <w:outlineLvl w:val="0"/>
    </w:pPr>
    <w:rPr>
      <w:rFonts w:eastAsia="" w:eastAsiaTheme="majorEastAsia"/>
      <w:b/>
      <w:bCs/>
      <w:kern w:val="2"/>
      <w:sz w:val="32"/>
      <w:szCs w:val="32"/>
    </w:rPr>
  </w:style>
  <w:style w:type="paragraph" w:styleId="Podtitul">
    <w:name w:val="Subtitle"/>
    <w:basedOn w:val="Normal"/>
    <w:next w:val="Normal"/>
    <w:link w:val="PodnadpisChar"/>
    <w:uiPriority w:val="11"/>
    <w:qFormat/>
    <w:rsid w:val="00e50fc7"/>
    <w:pPr>
      <w:spacing w:before="0" w:after="60"/>
      <w:jc w:val="center"/>
      <w:outlineLvl w:val="1"/>
    </w:pPr>
    <w:rPr>
      <w:rFonts w:eastAsia="" w:eastAsiaTheme="majorEastAsia"/>
    </w:rPr>
  </w:style>
  <w:style w:type="paragraph" w:styleId="NoSpacing">
    <w:name w:val="No Spacing"/>
    <w:basedOn w:val="Normal"/>
    <w:link w:val="BezmezerChar"/>
    <w:uiPriority w:val="1"/>
    <w:qFormat/>
    <w:rsid w:val="00e50fc7"/>
    <w:pPr/>
    <w:rPr>
      <w:szCs w:val="32"/>
    </w:rPr>
  </w:style>
  <w:style w:type="paragraph" w:styleId="Quote">
    <w:name w:val="Quote"/>
    <w:basedOn w:val="Normal"/>
    <w:next w:val="Normal"/>
    <w:link w:val="CittChar"/>
    <w:uiPriority w:val="29"/>
    <w:qFormat/>
    <w:rsid w:val="00e50fc7"/>
    <w:pPr/>
    <w:rPr>
      <w:i/>
    </w:rPr>
  </w:style>
  <w:style w:type="paragraph" w:styleId="IntenseQuote">
    <w:name w:val="Intense Quote"/>
    <w:basedOn w:val="Normal"/>
    <w:next w:val="Normal"/>
    <w:link w:val="VrazncittChar"/>
    <w:uiPriority w:val="30"/>
    <w:qFormat/>
    <w:rsid w:val="00e50fc7"/>
    <w:pPr>
      <w:ind w:left="720" w:right="720" w:hanging="0"/>
    </w:pPr>
    <w:rPr>
      <w:b/>
      <w:i/>
      <w:szCs w:val="22"/>
    </w:rPr>
  </w:style>
  <w:style w:type="paragraph" w:styleId="ESSEn-tte" w:customStyle="1">
    <w:name w:val="ESS_En-tête"/>
    <w:basedOn w:val="Normal"/>
    <w:uiPriority w:val="99"/>
    <w:qFormat/>
    <w:rsid w:val="00393734"/>
    <w:pPr>
      <w:pBdr>
        <w:top w:val="single" w:sz="4" w:space="1" w:color="000000"/>
        <w:left w:val="single" w:sz="4" w:space="4" w:color="000000"/>
        <w:bottom w:val="single" w:sz="4" w:space="1" w:color="000000"/>
        <w:right w:val="single" w:sz="4" w:space="4" w:color="000000"/>
      </w:pBdr>
      <w:shd w:val="clear" w:color="auto" w:fill="C0C0C0"/>
      <w:tabs>
        <w:tab w:val="clear" w:pos="720"/>
        <w:tab w:val="left" w:pos="1080" w:leader="none"/>
      </w:tabs>
      <w:jc w:val="center"/>
    </w:pPr>
    <w:rPr>
      <w:rFonts w:cs="Arial"/>
      <w:b/>
      <w:bCs/>
      <w:lang w:val="en-US"/>
    </w:rPr>
  </w:style>
  <w:style w:type="paragraph" w:styleId="DocumentMap">
    <w:name w:val="Document Map"/>
    <w:basedOn w:val="Normal"/>
    <w:link w:val="RozloendokumentuChar"/>
    <w:uiPriority w:val="99"/>
    <w:semiHidden/>
    <w:qFormat/>
    <w:rsid w:val="00393734"/>
    <w:pPr>
      <w:shd w:val="clear" w:color="auto" w:fill="000080"/>
    </w:pPr>
    <w:rPr>
      <w:rFonts w:ascii="Tahoma" w:hAnsi="Tahoma" w:cs="Tahoma"/>
    </w:rPr>
  </w:style>
  <w:style w:type="paragraph" w:styleId="ESSGeneral" w:customStyle="1">
    <w:name w:val="ESS_General"/>
    <w:basedOn w:val="Normal"/>
    <w:uiPriority w:val="99"/>
    <w:qFormat/>
    <w:rsid w:val="00393734"/>
    <w:pPr/>
    <w:rPr>
      <w:rFonts w:cs="Arial"/>
      <w:sz w:val="22"/>
      <w:szCs w:val="22"/>
      <w:lang w:val="en-US"/>
    </w:rPr>
  </w:style>
  <w:style w:type="paragraph" w:styleId="DefaultText" w:customStyle="1">
    <w:name w:val="Default Text"/>
    <w:basedOn w:val="Normal"/>
    <w:uiPriority w:val="99"/>
    <w:qFormat/>
    <w:rsid w:val="00393734"/>
    <w:pPr/>
    <w:rPr>
      <w:rFonts w:ascii="CG Omega" w:hAnsi="CG Omega"/>
      <w:szCs w:val="20"/>
      <w:lang w:val="en-US"/>
    </w:rPr>
  </w:style>
  <w:style w:type="paragraph" w:styleId="Dka" w:customStyle="1">
    <w:name w:val="Řádka"/>
    <w:qFormat/>
    <w:rsid w:val="00393734"/>
    <w:pPr>
      <w:widowControl w:val="false"/>
      <w:suppressAutoHyphens w:val="true"/>
      <w:bidi w:val="0"/>
      <w:spacing w:lineRule="auto" w:line="259" w:before="0" w:after="160"/>
      <w:ind w:left="742" w:hanging="0"/>
      <w:jc w:val="both"/>
    </w:pPr>
    <w:rPr>
      <w:rFonts w:ascii="EurostileEE" w:hAnsi="EurostileEE" w:eastAsia="Times New Roman" w:cs="Mangal"/>
      <w:b/>
      <w:color w:val="000000"/>
      <w:kern w:val="0"/>
      <w:sz w:val="20"/>
      <w:szCs w:val="20"/>
      <w:lang w:val="cs-CZ" w:eastAsia="cs-CZ" w:bidi="ar-SA"/>
    </w:rPr>
  </w:style>
  <w:style w:type="paragraph" w:styleId="BodySingle" w:customStyle="1">
    <w:name w:val="Body Single"/>
    <w:qFormat/>
    <w:rsid w:val="00393734"/>
    <w:pPr>
      <w:widowControl w:val="false"/>
      <w:suppressAutoHyphens w:val="true"/>
      <w:bidi w:val="0"/>
      <w:spacing w:lineRule="auto" w:line="259" w:before="0" w:after="160"/>
      <w:ind w:left="686" w:hanging="0"/>
      <w:jc w:val="both"/>
    </w:pPr>
    <w:rPr>
      <w:rFonts w:ascii="EurostileEE" w:hAnsi="EurostileEE" w:eastAsia="Times New Roman" w:cs="Mangal"/>
      <w:color w:val="000000"/>
      <w:kern w:val="0"/>
      <w:sz w:val="22"/>
      <w:szCs w:val="22"/>
      <w:lang w:val="cs-CZ" w:eastAsia="cs-CZ" w:bidi="ar-SA"/>
    </w:rPr>
  </w:style>
  <w:style w:type="paragraph" w:styleId="Bullet" w:customStyle="1">
    <w:name w:val="Bullet"/>
    <w:qFormat/>
    <w:rsid w:val="00393734"/>
    <w:pPr>
      <w:widowControl w:val="false"/>
      <w:suppressAutoHyphens w:val="true"/>
      <w:bidi w:val="0"/>
      <w:spacing w:lineRule="auto" w:line="259" w:before="0" w:after="160"/>
      <w:ind w:left="873" w:hanging="0"/>
      <w:jc w:val="both"/>
    </w:pPr>
    <w:rPr>
      <w:rFonts w:ascii="EurostileEE" w:hAnsi="EurostileEE" w:eastAsia="Times New Roman" w:cs="Mangal"/>
      <w:color w:val="000000"/>
      <w:kern w:val="0"/>
      <w:sz w:val="22"/>
      <w:szCs w:val="22"/>
      <w:lang w:val="cs-CZ" w:eastAsia="cs-CZ" w:bidi="ar-SA"/>
    </w:rPr>
  </w:style>
  <w:style w:type="paragraph" w:styleId="Bullet1" w:customStyle="1">
    <w:name w:val="Bullet 1"/>
    <w:qFormat/>
    <w:rsid w:val="00393734"/>
    <w:pPr>
      <w:widowControl w:val="false"/>
      <w:suppressAutoHyphens w:val="true"/>
      <w:bidi w:val="0"/>
      <w:spacing w:lineRule="auto" w:line="259" w:before="0" w:after="160"/>
      <w:ind w:left="1031" w:hanging="0"/>
      <w:jc w:val="left"/>
    </w:pPr>
    <w:rPr>
      <w:rFonts w:ascii="EurostileEE" w:hAnsi="EurostileEE" w:eastAsia="Times New Roman" w:cs="Mangal"/>
      <w:color w:val="000000"/>
      <w:kern w:val="0"/>
      <w:sz w:val="22"/>
      <w:szCs w:val="22"/>
      <w:lang w:val="cs-CZ" w:eastAsia="cs-CZ" w:bidi="ar-SA"/>
    </w:rPr>
  </w:style>
  <w:style w:type="paragraph" w:styleId="Odrazka2" w:customStyle="1">
    <w:name w:val="Odrazka2"/>
    <w:qFormat/>
    <w:rsid w:val="00393734"/>
    <w:pPr>
      <w:widowControl w:val="false"/>
      <w:suppressAutoHyphens w:val="true"/>
      <w:bidi w:val="0"/>
      <w:spacing w:lineRule="auto" w:line="259" w:before="0" w:after="160"/>
      <w:ind w:left="686" w:hanging="0"/>
      <w:jc w:val="both"/>
    </w:pPr>
    <w:rPr>
      <w:rFonts w:ascii="Timpani" w:hAnsi="Timpani" w:eastAsia="Times New Roman" w:cs="Mangal"/>
      <w:color w:val="000000"/>
      <w:kern w:val="0"/>
      <w:sz w:val="28"/>
      <w:szCs w:val="22"/>
      <w:lang w:val="cs-CZ" w:eastAsia="cs-CZ" w:bidi="ar-SA"/>
    </w:rPr>
  </w:style>
  <w:style w:type="paragraph" w:styleId="Odrazka3" w:customStyle="1">
    <w:name w:val="Odrazka3"/>
    <w:qFormat/>
    <w:rsid w:val="00393734"/>
    <w:pPr>
      <w:widowControl w:val="false"/>
      <w:suppressAutoHyphens w:val="true"/>
      <w:bidi w:val="0"/>
      <w:spacing w:lineRule="auto" w:line="259" w:before="0" w:after="160"/>
      <w:ind w:left="1423" w:hanging="3"/>
      <w:jc w:val="left"/>
    </w:pPr>
    <w:rPr>
      <w:rFonts w:ascii="Timpani" w:hAnsi="Timpani" w:eastAsia="Times New Roman" w:cs="Mangal"/>
      <w:color w:val="000000"/>
      <w:kern w:val="0"/>
      <w:sz w:val="24"/>
      <w:szCs w:val="22"/>
      <w:lang w:val="cs-CZ" w:eastAsia="cs-CZ" w:bidi="ar-SA"/>
    </w:rPr>
  </w:style>
  <w:style w:type="paragraph" w:styleId="Odrazka5" w:customStyle="1">
    <w:name w:val="odrazka5"/>
    <w:qFormat/>
    <w:rsid w:val="00393734"/>
    <w:pPr>
      <w:widowControl w:val="false"/>
      <w:suppressAutoHyphens w:val="true"/>
      <w:bidi w:val="0"/>
      <w:spacing w:lineRule="auto" w:line="259" w:before="0" w:after="160"/>
      <w:ind w:left="283" w:firstLine="6"/>
      <w:jc w:val="both"/>
    </w:pPr>
    <w:rPr>
      <w:rFonts w:ascii="EurostileEE" w:hAnsi="EurostileEE" w:eastAsia="Times New Roman" w:cs="Mangal"/>
      <w:b/>
      <w:color w:val="000000"/>
      <w:kern w:val="0"/>
      <w:sz w:val="24"/>
      <w:szCs w:val="22"/>
      <w:lang w:val="cs-CZ" w:eastAsia="cs-CZ" w:bidi="ar-SA"/>
    </w:rPr>
  </w:style>
  <w:style w:type="paragraph" w:styleId="Znaka1" w:customStyle="1">
    <w:name w:val="Značka 1"/>
    <w:qFormat/>
    <w:rsid w:val="00393734"/>
    <w:pPr>
      <w:widowControl w:val="false"/>
      <w:suppressAutoHyphens w:val="true"/>
      <w:bidi w:val="0"/>
      <w:spacing w:lineRule="auto" w:line="259" w:before="0" w:after="160"/>
      <w:ind w:left="576" w:hanging="0"/>
      <w:jc w:val="left"/>
    </w:pPr>
    <w:rPr>
      <w:rFonts w:ascii="Times New Roman" w:hAnsi="Times New Roman" w:eastAsia="Times New Roman" w:cs="Mangal"/>
      <w:color w:val="000000"/>
      <w:kern w:val="0"/>
      <w:sz w:val="24"/>
      <w:szCs w:val="22"/>
      <w:lang w:val="cs-CZ" w:eastAsia="cs-CZ" w:bidi="ar-SA"/>
    </w:rPr>
  </w:style>
  <w:style w:type="paragraph" w:styleId="Sloseznamu" w:customStyle="1">
    <w:name w:val="Číslo seznamu"/>
    <w:qFormat/>
    <w:rsid w:val="00393734"/>
    <w:pPr>
      <w:widowControl w:val="false"/>
      <w:suppressAutoHyphens w:val="true"/>
      <w:bidi w:val="0"/>
      <w:spacing w:lineRule="auto" w:line="259" w:before="0" w:after="160"/>
      <w:ind w:left="720" w:hanging="0"/>
      <w:jc w:val="left"/>
    </w:pPr>
    <w:rPr>
      <w:rFonts w:ascii="Times New Roman" w:hAnsi="Times New Roman" w:eastAsia="Times New Roman" w:cs="Mangal"/>
      <w:color w:val="000000"/>
      <w:kern w:val="0"/>
      <w:sz w:val="24"/>
      <w:szCs w:val="22"/>
      <w:lang w:val="cs-CZ" w:eastAsia="cs-CZ" w:bidi="ar-SA"/>
    </w:rPr>
  </w:style>
  <w:style w:type="paragraph" w:styleId="Podnadpis1" w:customStyle="1">
    <w:name w:val="Podnadpis1"/>
    <w:qFormat/>
    <w:rsid w:val="00393734"/>
    <w:pPr>
      <w:widowControl w:val="false"/>
      <w:suppressAutoHyphens w:val="true"/>
      <w:bidi w:val="0"/>
      <w:spacing w:lineRule="auto" w:line="259" w:before="0" w:after="160"/>
      <w:jc w:val="left"/>
    </w:pPr>
    <w:rPr>
      <w:rFonts w:ascii="Times New Roman" w:hAnsi="Times New Roman" w:eastAsia="Times New Roman" w:cs="Mangal"/>
      <w:b/>
      <w:i/>
      <w:color w:val="000000"/>
      <w:kern w:val="0"/>
      <w:sz w:val="24"/>
      <w:szCs w:val="22"/>
      <w:lang w:val="cs-CZ" w:eastAsia="cs-CZ" w:bidi="ar-SA"/>
    </w:rPr>
  </w:style>
  <w:style w:type="paragraph" w:styleId="Pata" w:customStyle="1">
    <w:name w:val="Pata"/>
    <w:qFormat/>
    <w:rsid w:val="00393734"/>
    <w:pPr>
      <w:widowControl w:val="false"/>
      <w:suppressAutoHyphens w:val="true"/>
      <w:bidi w:val="0"/>
      <w:spacing w:lineRule="auto" w:line="259" w:before="0" w:after="160"/>
      <w:jc w:val="left"/>
    </w:pPr>
    <w:rPr>
      <w:rFonts w:ascii="Times New Roman" w:hAnsi="Times New Roman" w:eastAsia="Times New Roman" w:cs="Mangal"/>
      <w:color w:val="000000"/>
      <w:kern w:val="0"/>
      <w:sz w:val="24"/>
      <w:szCs w:val="22"/>
      <w:lang w:val="cs-CZ" w:eastAsia="cs-CZ" w:bidi="ar-SA"/>
    </w:rPr>
  </w:style>
  <w:style w:type="paragraph" w:styleId="Texttabulky" w:customStyle="1">
    <w:name w:val="Text tabulky"/>
    <w:qFormat/>
    <w:rsid w:val="00393734"/>
    <w:pPr>
      <w:widowControl w:val="false"/>
      <w:suppressAutoHyphens w:val="true"/>
      <w:bidi w:val="0"/>
      <w:spacing w:lineRule="auto" w:line="259" w:before="0" w:after="160"/>
      <w:jc w:val="left"/>
    </w:pPr>
    <w:rPr>
      <w:rFonts w:ascii="EurostileEE" w:hAnsi="EurostileEE" w:eastAsia="Times New Roman" w:cs="Mangal"/>
      <w:color w:val="000000"/>
      <w:kern w:val="0"/>
      <w:sz w:val="18"/>
      <w:szCs w:val="22"/>
      <w:lang w:val="cs-CZ" w:eastAsia="cs-CZ" w:bidi="ar-SA"/>
    </w:rPr>
  </w:style>
  <w:style w:type="paragraph" w:styleId="TableText" w:customStyle="1">
    <w:name w:val="Table Text"/>
    <w:qFormat/>
    <w:rsid w:val="00393734"/>
    <w:pPr>
      <w:widowControl w:val="false"/>
      <w:suppressAutoHyphens w:val="true"/>
      <w:bidi w:val="0"/>
      <w:spacing w:lineRule="auto" w:line="259" w:before="0" w:after="160"/>
      <w:jc w:val="left"/>
    </w:pPr>
    <w:rPr>
      <w:rFonts w:ascii="HelveticaNarrowE" w:hAnsi="HelveticaNarrowE" w:eastAsia="Times New Roman" w:cs="Mangal"/>
      <w:color w:val="000000"/>
      <w:kern w:val="0"/>
      <w:sz w:val="24"/>
      <w:szCs w:val="22"/>
      <w:lang w:val="cs-CZ" w:eastAsia="cs-CZ" w:bidi="ar-SA"/>
    </w:rPr>
  </w:style>
  <w:style w:type="paragraph" w:styleId="Footnote" w:customStyle="1">
    <w:name w:val="Footnote"/>
    <w:qFormat/>
    <w:rsid w:val="00393734"/>
    <w:pPr>
      <w:widowControl w:val="false"/>
      <w:suppressAutoHyphens w:val="true"/>
      <w:bidi w:val="0"/>
      <w:spacing w:lineRule="auto" w:line="259" w:before="0" w:after="160"/>
      <w:ind w:firstLine="720"/>
      <w:jc w:val="left"/>
    </w:pPr>
    <w:rPr>
      <w:rFonts w:ascii="HelveticaNarrowE" w:hAnsi="HelveticaNarrowE" w:eastAsia="Times New Roman" w:cs="Mangal"/>
      <w:color w:val="000000"/>
      <w:kern w:val="0"/>
      <w:sz w:val="24"/>
      <w:szCs w:val="22"/>
      <w:lang w:val="cs-CZ" w:eastAsia="cs-CZ" w:bidi="ar-SA"/>
    </w:rPr>
  </w:style>
  <w:style w:type="paragraph" w:styleId="Znaka" w:customStyle="1">
    <w:name w:val="Značka"/>
    <w:qFormat/>
    <w:rsid w:val="00393734"/>
    <w:pPr>
      <w:widowControl w:val="false"/>
      <w:suppressAutoHyphens w:val="true"/>
      <w:bidi w:val="0"/>
      <w:spacing w:lineRule="auto" w:line="259" w:before="0" w:after="160"/>
      <w:ind w:left="1422" w:hanging="283"/>
      <w:jc w:val="left"/>
    </w:pPr>
    <w:rPr>
      <w:rFonts w:ascii="HelveticaNarrowE" w:hAnsi="HelveticaNarrowE" w:eastAsia="Times New Roman" w:cs="Mangal"/>
      <w:color w:val="000000"/>
      <w:kern w:val="0"/>
      <w:sz w:val="24"/>
      <w:szCs w:val="22"/>
      <w:lang w:val="cs-CZ" w:eastAsia="cs-CZ" w:bidi="ar-SA"/>
    </w:rPr>
  </w:style>
  <w:style w:type="paragraph" w:styleId="Slolnku" w:customStyle="1">
    <w:name w:val="Číslo článku"/>
    <w:qFormat/>
    <w:rsid w:val="00393734"/>
    <w:pPr>
      <w:widowControl w:val="false"/>
      <w:suppressAutoHyphens w:val="true"/>
      <w:bidi w:val="0"/>
      <w:spacing w:lineRule="auto" w:line="259" w:before="0" w:after="160"/>
      <w:ind w:left="572" w:hanging="0"/>
      <w:jc w:val="left"/>
    </w:pPr>
    <w:rPr>
      <w:rFonts w:ascii="EurostileEE" w:hAnsi="EurostileEE" w:eastAsia="Times New Roman" w:cs="Mangal"/>
      <w:b/>
      <w:color w:val="000000"/>
      <w:kern w:val="0"/>
      <w:sz w:val="28"/>
      <w:szCs w:val="22"/>
      <w:lang w:val="cs-CZ" w:eastAsia="cs-CZ" w:bidi="ar-SA"/>
    </w:rPr>
  </w:style>
  <w:style w:type="paragraph" w:styleId="Odrazka51" w:customStyle="1">
    <w:name w:val="odrazka5.1"/>
    <w:qFormat/>
    <w:rsid w:val="00393734"/>
    <w:pPr>
      <w:widowControl w:val="false"/>
      <w:suppressAutoHyphens w:val="true"/>
      <w:bidi w:val="0"/>
      <w:spacing w:lineRule="auto" w:line="259" w:before="0" w:after="160"/>
      <w:ind w:left="623" w:firstLine="6"/>
      <w:jc w:val="both"/>
    </w:pPr>
    <w:rPr>
      <w:rFonts w:ascii="EurostileEE" w:hAnsi="EurostileEE" w:eastAsia="Times New Roman" w:cs="Mangal"/>
      <w:color w:val="000000"/>
      <w:kern w:val="0"/>
      <w:sz w:val="22"/>
      <w:szCs w:val="22"/>
      <w:lang w:val="cs-CZ" w:eastAsia="cs-CZ" w:bidi="ar-SA"/>
    </w:rPr>
  </w:style>
  <w:style w:type="paragraph" w:styleId="Zklnovstr" w:customStyle="1">
    <w:name w:val="Zákl.nov.str."/>
    <w:qFormat/>
    <w:rsid w:val="00393734"/>
    <w:pPr>
      <w:widowControl w:val="false"/>
      <w:suppressAutoHyphens w:val="true"/>
      <w:bidi w:val="0"/>
      <w:spacing w:lineRule="auto" w:line="259" w:before="0" w:after="160"/>
      <w:jc w:val="both"/>
    </w:pPr>
    <w:rPr>
      <w:rFonts w:ascii="EurostileEE" w:hAnsi="EurostileEE" w:eastAsia="Times New Roman" w:cs="Mangal"/>
      <w:b/>
      <w:i/>
      <w:color w:val="000000"/>
      <w:kern w:val="0"/>
      <w:sz w:val="16"/>
      <w:szCs w:val="22"/>
      <w:lang w:val="cs-CZ" w:eastAsia="cs-CZ" w:bidi="ar-SA"/>
    </w:rPr>
  </w:style>
  <w:style w:type="paragraph" w:styleId="NumberList2" w:customStyle="1">
    <w:name w:val="Number List2"/>
    <w:qFormat/>
    <w:rsid w:val="00393734"/>
    <w:pPr>
      <w:widowControl w:val="false"/>
      <w:suppressAutoHyphens w:val="true"/>
      <w:bidi w:val="0"/>
      <w:spacing w:lineRule="auto" w:line="259" w:before="0" w:after="160"/>
      <w:ind w:left="453" w:hanging="0"/>
      <w:jc w:val="left"/>
    </w:pPr>
    <w:rPr>
      <w:rFonts w:ascii="EurostileEE" w:hAnsi="EurostileEE" w:eastAsia="Times New Roman" w:cs="Mangal"/>
      <w:b/>
      <w:i/>
      <w:color w:val="000000"/>
      <w:kern w:val="0"/>
      <w:sz w:val="24"/>
      <w:szCs w:val="22"/>
      <w:lang w:val="cs-CZ" w:eastAsia="cs-CZ" w:bidi="ar-SA"/>
    </w:rPr>
  </w:style>
  <w:style w:type="paragraph" w:styleId="Odrazka22" w:customStyle="1">
    <w:name w:val="Odrazka 2.2"/>
    <w:qFormat/>
    <w:rsid w:val="00393734"/>
    <w:pPr>
      <w:widowControl w:val="false"/>
      <w:suppressAutoHyphens w:val="true"/>
      <w:bidi w:val="0"/>
      <w:spacing w:lineRule="auto" w:line="259" w:before="0" w:after="160"/>
      <w:ind w:left="453" w:hanging="0"/>
      <w:jc w:val="both"/>
    </w:pPr>
    <w:rPr>
      <w:rFonts w:ascii="EurostileEE" w:hAnsi="EurostileEE" w:eastAsia="Times New Roman" w:cs="Mangal"/>
      <w:i/>
      <w:color w:val="000000"/>
      <w:kern w:val="0"/>
      <w:sz w:val="22"/>
      <w:szCs w:val="22"/>
      <w:lang w:val="cs-CZ" w:eastAsia="cs-CZ" w:bidi="ar-SA"/>
    </w:rPr>
  </w:style>
  <w:style w:type="paragraph" w:styleId="Texttabulku2" w:customStyle="1">
    <w:name w:val="Text tabulku2"/>
    <w:qFormat/>
    <w:rsid w:val="00393734"/>
    <w:pPr>
      <w:widowControl w:val="false"/>
      <w:suppressAutoHyphens w:val="true"/>
      <w:bidi w:val="0"/>
      <w:spacing w:lineRule="auto" w:line="259" w:before="0" w:after="160"/>
      <w:jc w:val="left"/>
    </w:pPr>
    <w:rPr>
      <w:rFonts w:ascii="EurostileEE" w:hAnsi="EurostileEE" w:eastAsia="Times New Roman" w:cs="Mangal"/>
      <w:color w:val="000000"/>
      <w:kern w:val="0"/>
      <w:sz w:val="18"/>
      <w:szCs w:val="22"/>
      <w:lang w:val="cs-CZ" w:eastAsia="cs-CZ" w:bidi="ar-SA"/>
    </w:rPr>
  </w:style>
  <w:style w:type="paragraph" w:styleId="Annotationsubject">
    <w:name w:val="annotation subject"/>
    <w:basedOn w:val="Annotationtext"/>
    <w:next w:val="Annotationtext"/>
    <w:link w:val="PedmtkomenteChar"/>
    <w:qFormat/>
    <w:rsid w:val="00393734"/>
    <w:pPr/>
    <w:rPr>
      <w:b/>
      <w:bCs/>
    </w:rPr>
  </w:style>
  <w:style w:type="paragraph" w:styleId="ESSTag" w:customStyle="1">
    <w:name w:val="ESS_Tag"/>
    <w:basedOn w:val="Normal"/>
    <w:uiPriority w:val="99"/>
    <w:qFormat/>
    <w:rsid w:val="00393734"/>
    <w:pPr/>
    <w:rPr>
      <w:rFonts w:ascii="Times New Roman" w:hAnsi="Times New Roman" w:eastAsia="" w:cs="Arial" w:eastAsiaTheme="minorEastAsia"/>
      <w:sz w:val="22"/>
      <w:szCs w:val="22"/>
      <w:lang w:val="en-US"/>
    </w:rPr>
  </w:style>
  <w:style w:type="paragraph" w:styleId="DsNadpis1" w:customStyle="1">
    <w:name w:val="DsNadpis1"/>
    <w:basedOn w:val="Nadpis1"/>
    <w:link w:val="DsNadpis1Char"/>
    <w:qFormat/>
    <w:rsid w:val="00433fe1"/>
    <w:pPr>
      <w:spacing w:before="120" w:after="120"/>
    </w:pPr>
    <w:rPr>
      <w:sz w:val="36"/>
      <w:lang w:val="fr-FR"/>
    </w:rPr>
  </w:style>
  <w:style w:type="paragraph" w:styleId="DsNormal" w:customStyle="1">
    <w:name w:val="DsNormal"/>
    <w:basedOn w:val="Normal"/>
    <w:link w:val="DsNormalChar"/>
    <w:qFormat/>
    <w:rsid w:val="00221939"/>
    <w:pPr/>
    <w:rPr>
      <w:rFonts w:cs="Arial"/>
      <w:sz w:val="20"/>
      <w:szCs w:val="18"/>
      <w:lang w:val="fr-FR"/>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rsid w:val="00ea6e5e"/>
    <w:pPr>
      <w:spacing w:after="0" w:line="240" w:lineRule="auto"/>
    </w:pPr>
    <w:rPr>
      <w:lang w:val="cs-CZ" w:eastAsia="cs-CZ"/>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rofesionlntabulka">
    <w:name w:val="Table Professional"/>
    <w:basedOn w:val="Normlntabulka"/>
    <w:uiPriority w:val="99"/>
    <w:rsid w:val="00d80035"/>
    <w:pPr>
      <w:spacing w:after="0" w:line="24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customStyle="1" w:styleId="Mkatabulky1">
    <w:name w:val="Mřížka tabulky1"/>
    <w:basedOn w:val="Normlntabulka"/>
    <w:uiPriority w:val="99"/>
    <w:rsid w:val="005176ee"/>
    <w:rPr>
      <w:lang w:val="cs-CZ" w:eastAsia="cs-CZ"/>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545A8843654B4AA87C4CA542BE4428" ma:contentTypeVersion="14" ma:contentTypeDescription="Create a new document." ma:contentTypeScope="" ma:versionID="68f8eb59fa1daf17ab351f5abf84d105">
  <xsd:schema xmlns:xsd="http://www.w3.org/2001/XMLSchema" xmlns:xs="http://www.w3.org/2001/XMLSchema" xmlns:p="http://schemas.microsoft.com/office/2006/metadata/properties" xmlns:ns3="9297c34d-aca6-4573-8f93-9026f17176a1" xmlns:ns4="29e3aeec-0f17-49b4-b546-286dc1adffc5" targetNamespace="http://schemas.microsoft.com/office/2006/metadata/properties" ma:root="true" ma:fieldsID="51a6d6a2be84ae63994918ef18999138" ns3:_="" ns4:_="">
    <xsd:import namespace="9297c34d-aca6-4573-8f93-9026f17176a1"/>
    <xsd:import namespace="29e3aeec-0f17-49b4-b546-286dc1adffc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ServiceLocation" minOccurs="0"/>
                <xsd:element ref="ns3:MediaLengthInSecond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7c34d-aca6-4573-8f93-9026f1717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e3aeec-0f17-49b4-b546-286dc1adffc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36617-53BC-4B6A-8A4A-C91DD5AE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7c34d-aca6-4573-8f93-9026f17176a1"/>
    <ds:schemaRef ds:uri="29e3aeec-0f17-49b4-b546-286dc1adf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0839F-BD6C-4C4D-B794-78609F661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502E5-A725-45EB-A24E-725099F9B36F}">
  <ds:schemaRefs>
    <ds:schemaRef ds:uri="http://schemas.openxmlformats.org/officeDocument/2006/bibliography"/>
  </ds:schemaRefs>
</ds:datastoreItem>
</file>

<file path=customXml/itemProps4.xml><?xml version="1.0" encoding="utf-8"?>
<ds:datastoreItem xmlns:ds="http://schemas.openxmlformats.org/officeDocument/2006/customXml" ds:itemID="{58D8B5B6-C663-49E2-90BE-965AB7EA5E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LibreOffice/7.5.0.3$Windows_X86_64 LibreOffice_project/c21113d003cd3efa8c53188764377a8272d9d6de</Application>
  <AppVersion>15.0000</AppVersion>
  <Pages>9</Pages>
  <Words>1686</Words>
  <Characters>9844</Characters>
  <CharactersWithSpaces>11654</CharactersWithSpaces>
  <Paragraphs>290</Paragraphs>
  <Company>United Technologies Corporation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2024-10-11T14:17:00Z</dcterms:created>
  <dc:creator>Hana Kostelecka</dc:creator>
  <dc:description/>
  <dc:language>cs-CZ</dc:language>
  <cp:lastModifiedBy/>
  <cp:lastPrinted>2024-10-11T14:15:00Z</cp:lastPrinted>
  <dcterms:modified xsi:type="dcterms:W3CDTF">2024-10-26T10:53:02Z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0x0101004E545A8843654B4AA87C4CA542BE4428</vt:lpwstr>
  </property>
</Properties>
</file>